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14CD34">
      <w:pPr>
        <w:ind w:firstLine="0"/>
        <w:jc w:val="center"/>
        <w:rPr>
          <w:b/>
          <w:bCs/>
        </w:rPr>
      </w:pPr>
      <w:r>
        <w:rPr>
          <w:b/>
          <w:bCs/>
        </w:rPr>
        <w:t>Проект</w:t>
      </w:r>
    </w:p>
    <w:p w14:paraId="672D1E0E">
      <w:pPr>
        <w:ind w:firstLine="0"/>
        <w:jc w:val="center"/>
        <w:rPr>
          <w:b/>
          <w:bCs/>
        </w:rPr>
      </w:pPr>
      <w:r>
        <w:rPr>
          <w:b/>
          <w:bCs/>
        </w:rPr>
        <w:t>договора купли-продажи</w:t>
      </w:r>
    </w:p>
    <w:p w14:paraId="7B81C665">
      <w:pPr>
        <w:ind w:firstLine="0"/>
        <w:jc w:val="left"/>
      </w:pPr>
      <w:bookmarkStart w:id="0" w:name="_GoBack"/>
      <w:r>
        <w:rPr>
          <w:rFonts w:hint="default"/>
          <w:lang w:val="ru-RU"/>
        </w:rPr>
        <w:t xml:space="preserve">Д. СКУРЫГИНО, Г. ЧЕХОВ                                        </w:t>
      </w:r>
      <w:r>
        <w:t>«____»_____________________202</w:t>
      </w:r>
      <w:r>
        <w:rPr>
          <w:rFonts w:hint="default"/>
          <w:lang w:val="ru-RU"/>
        </w:rPr>
        <w:t xml:space="preserve">6 </w:t>
      </w:r>
      <w:r>
        <w:t>года.</w:t>
      </w:r>
    </w:p>
    <w:bookmarkEnd w:id="0"/>
    <w:p w14:paraId="2623B5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</w:p>
    <w:p w14:paraId="5EEF22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 xml:space="preserve">Организатор торгов – конкурсный управляющий </w:t>
      </w:r>
      <w:r>
        <w:rPr>
          <w:b/>
          <w:bCs/>
        </w:rPr>
        <w:t>Обществ</w:t>
      </w:r>
      <w:r>
        <w:rPr>
          <w:b/>
          <w:bCs/>
          <w:lang w:val="ru-RU"/>
        </w:rPr>
        <w:t>а</w:t>
      </w:r>
      <w:r>
        <w:rPr>
          <w:b/>
          <w:bCs/>
        </w:rPr>
        <w:t xml:space="preserve"> с ограниченной ответственностью «САНТОРИЯ» Федоткин Антон Андреевич</w:t>
      </w:r>
      <w:r>
        <w:t xml:space="preserve"> (ИНН</w:t>
      </w:r>
      <w:r>
        <w:br w:type="textWrapping"/>
      </w:r>
      <w:r>
        <w:t>519090286887, СНИЛС 094-347-553 93, почтовый адрес: 191119, г. Санкт-Петербург, а/я 100,</w:t>
      </w:r>
      <w:r>
        <w:br w:type="textWrapping"/>
      </w:r>
      <w:r>
        <w:t>электронная почта: fedotkinanton@gmail.com, тел.______________), член Ассоциации СРО «МЦПУ»</w:t>
      </w:r>
      <w:r>
        <w:rPr>
          <w:rFonts w:hint="default"/>
          <w:lang w:val="ru-RU"/>
        </w:rPr>
        <w:t xml:space="preserve"> </w:t>
      </w:r>
      <w:r>
        <w:t xml:space="preserve">(ИНН 7743069037, юр.адрес: 123557, г. Москва, пер. Большой Тишинский, д. 38, эт/пом/ком 1/II/35), действующий на основании решения Арбитражного суда Московской области от 20.12.2024 по делу № А41-61957/2023, именуемый в дальнейшем </w:t>
      </w:r>
      <w:r>
        <w:rPr>
          <w:b/>
          <w:bCs/>
        </w:rPr>
        <w:t>«Продавец»</w:t>
      </w:r>
      <w:r>
        <w:t xml:space="preserve"> с одной</w:t>
      </w:r>
      <w:r>
        <w:rPr>
          <w:rFonts w:hint="default"/>
          <w:lang w:val="ru-RU"/>
        </w:rPr>
        <w:t xml:space="preserve"> </w:t>
      </w:r>
      <w:r>
        <w:t>стороны, и</w:t>
      </w:r>
    </w:p>
    <w:p w14:paraId="4872BB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_________________________, в лице _____________________, действующего на основании</w:t>
      </w:r>
      <w:r>
        <w:rPr>
          <w:rFonts w:hint="default"/>
          <w:lang w:val="ru-RU"/>
        </w:rPr>
        <w:t xml:space="preserve"> </w:t>
      </w:r>
      <w:r>
        <w:t xml:space="preserve">___________, именуемое в дальнейшем </w:t>
      </w:r>
      <w:r>
        <w:rPr>
          <w:b/>
          <w:bCs/>
        </w:rPr>
        <w:t>«Покупатель»,</w:t>
      </w:r>
      <w:r>
        <w:t xml:space="preserve"> с другой стороны, именуемые вместе</w:t>
      </w:r>
      <w:r>
        <w:rPr>
          <w:rFonts w:hint="default"/>
          <w:lang w:val="ru-RU"/>
        </w:rPr>
        <w:t xml:space="preserve"> </w:t>
      </w:r>
      <w:r>
        <w:t>«</w:t>
      </w:r>
      <w:r>
        <w:rPr>
          <w:b/>
          <w:bCs/>
        </w:rPr>
        <w:t>Стороны»</w:t>
      </w:r>
      <w:r>
        <w:t xml:space="preserve">, а по отдельности </w:t>
      </w:r>
      <w:r>
        <w:rPr>
          <w:b/>
          <w:bCs/>
        </w:rPr>
        <w:t>«Сторона»,</w:t>
      </w:r>
    </w:p>
    <w:p w14:paraId="3DEEE4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принимая во внимание, что Покупатель является победителем/единственным участником</w:t>
      </w:r>
      <w:r>
        <w:br w:type="textWrapping"/>
      </w:r>
      <w:r>
        <w:t>торгов по продаже имущества ООО «САНТОРИЯ» - Лота №__ (далее по тексту – «Торги»), о чем</w:t>
      </w:r>
      <w:r>
        <w:rPr>
          <w:rFonts w:hint="default"/>
          <w:lang w:val="ru-RU"/>
        </w:rPr>
        <w:t xml:space="preserve"> </w:t>
      </w:r>
      <w:r>
        <w:t>был подписан Протокол №______о результатах проведения открытых торгов по лоту № ___</w:t>
      </w:r>
      <w:r>
        <w:rPr>
          <w:rFonts w:hint="default"/>
          <w:lang w:val="ru-RU"/>
        </w:rPr>
        <w:t xml:space="preserve"> </w:t>
      </w:r>
      <w:r>
        <w:t>(Аукцион № _______) от _______2026 г., заключили настоящий договор купли-продажи (далее</w:t>
      </w:r>
      <w:r>
        <w:rPr>
          <w:rFonts w:hint="default"/>
          <w:lang w:val="ru-RU"/>
        </w:rPr>
        <w:t xml:space="preserve"> </w:t>
      </w:r>
      <w:r>
        <w:t>также - «Договор») о нижеследующем:</w:t>
      </w:r>
    </w:p>
    <w:p w14:paraId="03B762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</w:p>
    <w:p w14:paraId="18E8585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center"/>
        <w:textAlignment w:val="auto"/>
        <w:rPr>
          <w:b/>
          <w:bCs/>
        </w:rPr>
      </w:pPr>
      <w:r>
        <w:rPr>
          <w:b/>
          <w:bCs/>
        </w:rPr>
        <w:t>1. Предмет договора</w:t>
      </w:r>
    </w:p>
    <w:p w14:paraId="5CB7BC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1.1. Продавец обязуется передать в собственность Покупателя, а Покупатель обязуется</w:t>
      </w:r>
      <w:r>
        <w:rPr>
          <w:rFonts w:hint="default"/>
          <w:lang w:val="ru-RU"/>
        </w:rPr>
        <w:t xml:space="preserve"> </w:t>
      </w:r>
      <w:r>
        <w:t>принять и оплатить следующее имущество ООО «САНТОРИЯ»: Земельный участок</w:t>
      </w:r>
      <w:r>
        <w:br w:type="textWrapping"/>
      </w:r>
      <w:r>
        <w:t>______________________________________________, кадастровый номер</w:t>
      </w:r>
      <w:r>
        <w:rPr>
          <w:rFonts w:hint="default"/>
          <w:lang w:val="ru-RU"/>
        </w:rPr>
        <w:t xml:space="preserve"> </w:t>
      </w:r>
      <w:r>
        <w:t>__________________,</w:t>
      </w:r>
      <w:r>
        <w:rPr>
          <w:rFonts w:hint="default"/>
          <w:lang w:val="ru-RU"/>
        </w:rPr>
        <w:t xml:space="preserve"> </w:t>
      </w:r>
      <w:r>
        <w:t>площадью ____________________________, расположенный по адресу:</w:t>
      </w:r>
      <w:r>
        <w:rPr>
          <w:rFonts w:hint="default"/>
          <w:lang w:val="ru-RU"/>
        </w:rPr>
        <w:t xml:space="preserve"> </w:t>
      </w:r>
      <w:r>
        <w:t>________________________________________________________________________________</w:t>
      </w:r>
      <w:r>
        <w:rPr>
          <w:rFonts w:hint="default"/>
          <w:lang w:val="ru-RU"/>
        </w:rPr>
        <w:t>,</w:t>
      </w:r>
      <w:r>
        <w:t>Имущество принадлежит Продавцу на праве собственности.</w:t>
      </w:r>
    </w:p>
    <w:p w14:paraId="0EB8DC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1.2. В соответствии с Положением о порядке, сроках и условиях продажи имущества</w:t>
      </w:r>
      <w:r>
        <w:br w:type="textWrapping"/>
      </w:r>
      <w:r>
        <w:t>ООО «САНТОРИЯ», утвержденным в установленном порядке, и в соответствии с сообщением о проведении</w:t>
      </w:r>
      <w:r>
        <w:rPr>
          <w:rFonts w:hint="default"/>
          <w:lang w:val="ru-RU"/>
        </w:rPr>
        <w:t xml:space="preserve"> </w:t>
      </w:r>
      <w:r>
        <w:t>торгов по продаже имущества в форме открытого аукциона, опубликованном в газете</w:t>
      </w:r>
      <w:r>
        <w:rPr>
          <w:rFonts w:hint="default"/>
          <w:lang w:val="ru-RU"/>
        </w:rPr>
        <w:t xml:space="preserve"> </w:t>
      </w:r>
      <w:r>
        <w:t>Коммерсантъ» № ____ от ______ 2026 года торги в форме открытого аукциона по продаже</w:t>
      </w:r>
      <w:r>
        <w:rPr>
          <w:rFonts w:hint="default"/>
          <w:lang w:val="ru-RU"/>
        </w:rPr>
        <w:t xml:space="preserve"> </w:t>
      </w:r>
      <w:r>
        <w:t>имущества ООО «САНТОРИЯ» Лот № ____ признаны состоявшимися / несостоявшимися, договор</w:t>
      </w:r>
      <w:r>
        <w:rPr>
          <w:rFonts w:hint="default"/>
          <w:lang w:val="ru-RU"/>
        </w:rPr>
        <w:t xml:space="preserve"> </w:t>
      </w:r>
      <w:r>
        <w:t>купли-продажи подлежит заключению с единственным участником.</w:t>
      </w:r>
    </w:p>
    <w:p w14:paraId="4DEAB7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1.3. Продавец гарантирует, что до заключения Договора имущество никому не отчуждено, в</w:t>
      </w:r>
      <w:r>
        <w:rPr>
          <w:rFonts w:hint="default"/>
          <w:lang w:val="ru-RU"/>
        </w:rPr>
        <w:t xml:space="preserve"> </w:t>
      </w:r>
      <w:r>
        <w:t>отношении него отсутствует какой-либо спор, не передано в доверительное управление, в аренду,</w:t>
      </w:r>
      <w:r>
        <w:rPr>
          <w:rFonts w:hint="default"/>
          <w:lang w:val="ru-RU"/>
        </w:rPr>
        <w:t xml:space="preserve"> </w:t>
      </w:r>
      <w:r>
        <w:t>в качестве вклада в уставный капитал юридических лиц</w:t>
      </w:r>
      <w:r>
        <w:rPr>
          <w:rFonts w:hint="default"/>
          <w:lang w:val="ru-RU"/>
        </w:rPr>
        <w:t xml:space="preserve">. </w:t>
      </w:r>
      <w:r>
        <w:rPr>
          <w:rFonts w:hint="default"/>
        </w:rPr>
        <w:t>На земельных участках находятся объекты коммунальной и социальной инфраструктуры, обслуживающие поселок, на территории которого находятся земельные участки: канализационно-насосная станция, водозаборный узел, детская площадка.</w:t>
      </w:r>
      <w:r>
        <w:t>.</w:t>
      </w:r>
    </w:p>
    <w:p w14:paraId="5FBD6DB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center"/>
        <w:textAlignment w:val="auto"/>
        <w:rPr>
          <w:b/>
          <w:bCs/>
        </w:rPr>
      </w:pPr>
    </w:p>
    <w:p w14:paraId="476D6C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center"/>
        <w:textAlignment w:val="auto"/>
        <w:rPr>
          <w:b/>
          <w:bCs/>
        </w:rPr>
      </w:pPr>
      <w:r>
        <w:rPr>
          <w:b/>
          <w:bCs/>
        </w:rPr>
        <w:t>2. Цена Договора и порядок расчетов</w:t>
      </w:r>
    </w:p>
    <w:p w14:paraId="18429E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2.1. Цена имущества составляет ______________ (________________) рублей, НДС не</w:t>
      </w:r>
      <w:r>
        <w:br w:type="textWrapping"/>
      </w:r>
      <w:r>
        <w:t>облагается (далее – Покупная цена).</w:t>
      </w:r>
    </w:p>
    <w:p w14:paraId="2315C6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2.2. Покупная цена Имущества является максимальной ценой продажи имущества,</w:t>
      </w:r>
      <w:r>
        <w:br w:type="textWrapping"/>
      </w:r>
      <w:r>
        <w:t>предложенной в ходе Торгов. Начальная цена Имущества, установленная для проведения Торгов,</w:t>
      </w:r>
      <w:r>
        <w:rPr>
          <w:rFonts w:hint="default"/>
          <w:lang w:val="ru-RU"/>
        </w:rPr>
        <w:t xml:space="preserve"> </w:t>
      </w:r>
      <w:r>
        <w:t>в соответствии с Федеральным законом от 26.10.2002 г. № 127-ФЗ «О несостоятельности</w:t>
      </w:r>
      <w:r>
        <w:rPr>
          <w:rFonts w:hint="default"/>
          <w:lang w:val="ru-RU"/>
        </w:rPr>
        <w:t xml:space="preserve"> </w:t>
      </w:r>
      <w:r>
        <w:t>(банкротстве)» является рыночной.</w:t>
      </w:r>
    </w:p>
    <w:p w14:paraId="02CF52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Представление предложений о цене продажи имущества и определение победителя торгов</w:t>
      </w:r>
      <w:r>
        <w:br w:type="textWrapping"/>
      </w:r>
      <w:r>
        <w:t>осуществлялись в соответствии с сообщением о проведении торгов по продаже имущества,</w:t>
      </w:r>
      <w:r>
        <w:br w:type="textWrapping"/>
      </w:r>
      <w:r>
        <w:t>указанным в пункте 1.2. Договора. Участники торгов и предложенные ими цены предмета Торгов</w:t>
      </w:r>
      <w:r>
        <w:rPr>
          <w:rFonts w:hint="default"/>
          <w:lang w:val="ru-RU"/>
        </w:rPr>
        <w:t xml:space="preserve"> </w:t>
      </w:r>
      <w:r>
        <w:t>указаны в Протоколе о результатах торгов по Лоту № ___ от ___.___.2026г.</w:t>
      </w:r>
    </w:p>
    <w:p w14:paraId="47BB8A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2.3. Покупатель обязуется не позднее 30 (тридцати) календарных дней со дня заключения</w:t>
      </w:r>
      <w:r>
        <w:br w:type="textWrapping"/>
      </w:r>
      <w:r>
        <w:t>Договора уплатить Покупную цену в размере, предусмотренном в п. 2.4. Договора, перечислив</w:t>
      </w:r>
      <w:r>
        <w:rPr>
          <w:rFonts w:hint="default"/>
          <w:lang w:val="ru-RU"/>
        </w:rPr>
        <w:t xml:space="preserve"> </w:t>
      </w:r>
      <w:r>
        <w:t>денежные средства на расчетный счет Продавца ООО «САНТОРИЯ», ИНН 5048041332, КПП</w:t>
      </w:r>
      <w:r>
        <w:rPr>
          <w:rFonts w:hint="default"/>
          <w:lang w:val="ru-RU"/>
        </w:rPr>
        <w:t xml:space="preserve"> </w:t>
      </w:r>
      <w:r>
        <w:t>504801001, ОГРН 1165048051574, р/с 40702810340000023333, БИК 044525225,</w:t>
      </w:r>
      <w:r>
        <w:rPr>
          <w:rFonts w:hint="default"/>
          <w:lang w:val="ru-RU"/>
        </w:rPr>
        <w:t xml:space="preserve"> </w:t>
      </w:r>
      <w:r>
        <w:t>наименование Банка ПАО Сбербанк, к/ч 30101810400000000225.</w:t>
      </w:r>
    </w:p>
    <w:p w14:paraId="642DFC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Данная обязанность Покупателя считается исполненной с момента поступления денежных</w:t>
      </w:r>
      <w:r>
        <w:rPr>
          <w:rFonts w:hint="default"/>
          <w:lang w:val="ru-RU"/>
        </w:rPr>
        <w:t xml:space="preserve"> </w:t>
      </w:r>
      <w:r>
        <w:t>средств на указанный выше счет с учетом положений, предусмотренных п. 2.4. Договора.</w:t>
      </w:r>
    </w:p>
    <w:p w14:paraId="41AF5E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2.4. Покупателем на счет Продавца перечислен задаток для участия в Торгах в размере</w:t>
      </w:r>
      <w:r>
        <w:rPr>
          <w:rFonts w:hint="default"/>
          <w:lang w:val="ru-RU"/>
        </w:rPr>
        <w:t xml:space="preserve"> </w:t>
      </w:r>
      <w:r>
        <w:t>__________ (_____________) рублей 00 копеек, который засчитывается в счет суммы,</w:t>
      </w:r>
      <w:r>
        <w:rPr>
          <w:rFonts w:hint="default"/>
          <w:lang w:val="ru-RU"/>
        </w:rPr>
        <w:t xml:space="preserve"> </w:t>
      </w:r>
      <w:r>
        <w:t>подлежащей</w:t>
      </w:r>
      <w:r>
        <w:rPr>
          <w:rFonts w:hint="default"/>
          <w:lang w:val="ru-RU"/>
        </w:rPr>
        <w:t xml:space="preserve"> </w:t>
      </w:r>
      <w:r>
        <w:t>оплате в соответствии с п. 2.3 Договора.</w:t>
      </w:r>
    </w:p>
    <w:p w14:paraId="559691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С учетом указанной суммы задатка, оставшаяся Покупная цена, подлежащая оплате,</w:t>
      </w:r>
      <w:r>
        <w:rPr>
          <w:rFonts w:hint="default"/>
          <w:lang w:val="ru-RU"/>
        </w:rPr>
        <w:t xml:space="preserve"> </w:t>
      </w:r>
      <w:r>
        <w:t>составляет: __________ (________________________) рубля __ копеек, НДС не облагается.</w:t>
      </w:r>
    </w:p>
    <w:p w14:paraId="30EE1A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</w:p>
    <w:p w14:paraId="65D3BB8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center"/>
        <w:textAlignment w:val="auto"/>
        <w:rPr>
          <w:b/>
          <w:bCs/>
        </w:rPr>
      </w:pPr>
      <w:r>
        <w:rPr>
          <w:b/>
          <w:bCs/>
        </w:rPr>
        <w:t>3. Обязанности Сторон по Договору</w:t>
      </w:r>
    </w:p>
    <w:p w14:paraId="50FBED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3.1. Продавец обязан:</w:t>
      </w:r>
    </w:p>
    <w:p w14:paraId="62BB3E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3.1.1. Передать Имущество Покупателю по Акту приема-передачи в соответствии с пунктом</w:t>
      </w:r>
      <w:r>
        <w:rPr>
          <w:rFonts w:hint="default"/>
          <w:lang w:val="ru-RU"/>
        </w:rPr>
        <w:t xml:space="preserve"> </w:t>
      </w:r>
      <w:r>
        <w:t>4.1 Договора.</w:t>
      </w:r>
    </w:p>
    <w:p w14:paraId="04EBE0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3.1.2. Одновременно с Имуществом передать документы, имеющие отношение к нему.</w:t>
      </w:r>
    </w:p>
    <w:p w14:paraId="5FA28E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</w:p>
    <w:p w14:paraId="1F4052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3.2. Покупатель обязан:</w:t>
      </w:r>
    </w:p>
    <w:p w14:paraId="7CD820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3.2.1. Оплатить Имущество в размере, порядке и сроки, предусмотренные разделом 2</w:t>
      </w:r>
      <w:r>
        <w:br w:type="textWrapping"/>
      </w:r>
      <w:r>
        <w:t>Договора.</w:t>
      </w:r>
    </w:p>
    <w:p w14:paraId="2716FF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3.2.2. Принять имущество по Акту приема-передачи от Продавца в порядке, указанном в</w:t>
      </w:r>
      <w:r>
        <w:br w:type="textWrapping"/>
      </w:r>
      <w:r>
        <w:t>пункте 4.1. Договора.</w:t>
      </w:r>
    </w:p>
    <w:p w14:paraId="0B4C0DB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4. Передача имущества Покупателю</w:t>
      </w:r>
    </w:p>
    <w:p w14:paraId="6FAC26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4.1. Продавец обязуется передать имущество Покупателю, а Покупатель, в свою очередь,</w:t>
      </w:r>
      <w:r>
        <w:br w:type="textWrapping"/>
      </w:r>
      <w:r>
        <w:t>принять его в течение 10 дней с момента оплаты Покупателем Покупной цены имущества в</w:t>
      </w:r>
      <w:r>
        <w:br w:type="textWrapping"/>
      </w:r>
      <w:r>
        <w:t>размере, указанном в п. 2.3. Договора.</w:t>
      </w:r>
    </w:p>
    <w:p w14:paraId="7D5BF1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4.2. Обязательство Продавца передать имущество считается исполненным после подписания</w:t>
      </w:r>
      <w:r>
        <w:rPr>
          <w:rFonts w:hint="default"/>
          <w:lang w:val="ru-RU"/>
        </w:rPr>
        <w:t xml:space="preserve"> </w:t>
      </w:r>
      <w:r>
        <w:t>Сторонами Акта приема-передачи имущества.</w:t>
      </w:r>
    </w:p>
    <w:p w14:paraId="3CE44F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4.3. При необходимости регистрации права собственности на имущество все мероприятия,</w:t>
      </w:r>
      <w:r>
        <w:br w:type="textWrapping"/>
      </w:r>
      <w:r>
        <w:t>связанные с данной регистрацией, осуществляются силами и за счет средств Покупателя.</w:t>
      </w:r>
    </w:p>
    <w:p w14:paraId="4C2C63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</w:p>
    <w:p w14:paraId="1E97E8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center"/>
        <w:textAlignment w:val="auto"/>
        <w:rPr>
          <w:b/>
          <w:bCs/>
        </w:rPr>
      </w:pPr>
      <w:r>
        <w:rPr>
          <w:b/>
          <w:bCs/>
        </w:rPr>
        <w:t>5. Форс-мажор</w:t>
      </w:r>
    </w:p>
    <w:p w14:paraId="599718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5.1. При невыполнении или частичном невыполнении любой из Сторон обязательств по</w:t>
      </w:r>
      <w:r>
        <w:br w:type="textWrapping"/>
      </w:r>
      <w:r>
        <w:t>Договору вследствие наступления обстоятельств непреодолимой силы: пожара, наводнения,</w:t>
      </w:r>
      <w:r>
        <w:br w:type="textWrapping"/>
      </w:r>
      <w:r>
        <w:t>землетрясения и других стихийных бедствий, а также войны, военных операций, запретительных</w:t>
      </w:r>
      <w:r>
        <w:rPr>
          <w:rFonts w:hint="default"/>
          <w:lang w:val="ru-RU"/>
        </w:rPr>
        <w:t xml:space="preserve"> </w:t>
      </w:r>
      <w:r>
        <w:t>актов органов законодательной власти, а также других обстоятельств, которые в соответствии с</w:t>
      </w:r>
      <w:r>
        <w:rPr>
          <w:rFonts w:hint="default"/>
          <w:lang w:val="ru-RU"/>
        </w:rPr>
        <w:t xml:space="preserve"> </w:t>
      </w:r>
      <w:r>
        <w:t>действующим законодательством могут быть отнесены к обстоятельствам непреодолимой силы,</w:t>
      </w:r>
      <w:r>
        <w:rPr>
          <w:rFonts w:hint="default"/>
          <w:lang w:val="ru-RU"/>
        </w:rPr>
        <w:t xml:space="preserve"> </w:t>
      </w:r>
      <w:r>
        <w:t>если они непосредственно повлияли на сроки исполнения Сторонами своих обязательств, срок</w:t>
      </w:r>
      <w:r>
        <w:rPr>
          <w:rFonts w:hint="default"/>
          <w:lang w:val="ru-RU"/>
        </w:rPr>
        <w:t xml:space="preserve"> </w:t>
      </w:r>
      <w:r>
        <w:t>исполнения отодвигается соразмерно времени, в течение которого будут действовать эти</w:t>
      </w:r>
      <w:r>
        <w:rPr>
          <w:rFonts w:hint="default"/>
          <w:lang w:val="ru-RU"/>
        </w:rPr>
        <w:t xml:space="preserve"> </w:t>
      </w:r>
      <w:r>
        <w:t>обстоятельства.</w:t>
      </w:r>
    </w:p>
    <w:p w14:paraId="0E8F6DC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5.2. Сторона, для которой создалась невозможность исполнения обязательств по Договору в</w:t>
      </w:r>
      <w:r>
        <w:rPr>
          <w:rFonts w:hint="default"/>
          <w:lang w:val="ru-RU"/>
        </w:rPr>
        <w:t xml:space="preserve"> </w:t>
      </w:r>
      <w:r>
        <w:t>силу вышеуказанных причин, должна без промедления письменно известить об этом другую</w:t>
      </w:r>
      <w:r>
        <w:rPr>
          <w:rFonts w:hint="default"/>
          <w:lang w:val="ru-RU"/>
        </w:rPr>
        <w:t xml:space="preserve"> </w:t>
      </w:r>
      <w:r>
        <w:t>Сторону в течение 14 дней с момента наступления таких обстоятельств. Доказательством</w:t>
      </w:r>
      <w:r>
        <w:rPr>
          <w:rFonts w:hint="default"/>
          <w:lang w:val="ru-RU"/>
        </w:rPr>
        <w:t xml:space="preserve"> </w:t>
      </w:r>
      <w:r>
        <w:t>указанных в извещении фактов должны служить документы, выдаваемые компетентными</w:t>
      </w:r>
      <w:r>
        <w:rPr>
          <w:rFonts w:hint="default"/>
          <w:lang w:val="ru-RU"/>
        </w:rPr>
        <w:t xml:space="preserve"> </w:t>
      </w:r>
      <w:r>
        <w:t>органами. Допускается извещение по факсимильной связи с обратным уведомлением о получении</w:t>
      </w:r>
      <w:r>
        <w:rPr>
          <w:rFonts w:hint="default"/>
          <w:lang w:val="ru-RU"/>
        </w:rPr>
        <w:t xml:space="preserve"> </w:t>
      </w:r>
      <w:r>
        <w:t>сообщения. Неизвещение или несвоевременное извещение другой Стороны влечет за собой утрату</w:t>
      </w:r>
      <w:r>
        <w:rPr>
          <w:rFonts w:hint="default"/>
          <w:lang w:val="ru-RU"/>
        </w:rPr>
        <w:t xml:space="preserve"> </w:t>
      </w:r>
      <w:r>
        <w:t>права ссылаться на эти обстоятельства.</w:t>
      </w:r>
    </w:p>
    <w:p w14:paraId="19FC40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5.3. Если действие обстоятельств непреодолимой силы продлится более одного месяца, то</w:t>
      </w:r>
      <w:r>
        <w:br w:type="textWrapping"/>
      </w:r>
      <w:r>
        <w:t>каждая Сторона имеет право расторгнуть Договор в одностороннем порядке, письменно известив</w:t>
      </w:r>
      <w:r>
        <w:rPr>
          <w:rFonts w:hint="default"/>
          <w:lang w:val="ru-RU"/>
        </w:rPr>
        <w:t xml:space="preserve"> </w:t>
      </w:r>
      <w:r>
        <w:t>об этом другую Сторону. В этом случае действие Договора прекращается с момента получения</w:t>
      </w:r>
      <w:r>
        <w:rPr>
          <w:rFonts w:hint="default"/>
          <w:lang w:val="ru-RU"/>
        </w:rPr>
        <w:t xml:space="preserve"> </w:t>
      </w:r>
      <w:r>
        <w:t>этого извещения другой Стороной.</w:t>
      </w:r>
    </w:p>
    <w:p w14:paraId="37682D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center"/>
        <w:textAlignment w:val="auto"/>
        <w:rPr>
          <w:b/>
          <w:bCs/>
        </w:rPr>
      </w:pPr>
    </w:p>
    <w:p w14:paraId="00B588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center"/>
        <w:textAlignment w:val="auto"/>
        <w:rPr>
          <w:b/>
          <w:bCs/>
        </w:rPr>
      </w:pPr>
      <w:r>
        <w:rPr>
          <w:b/>
          <w:bCs/>
        </w:rPr>
        <w:t>6. Прочие условия</w:t>
      </w:r>
    </w:p>
    <w:p w14:paraId="673F92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6.1. Договор считается заключенным в дату, указанную в правом верхнем углу первой</w:t>
      </w:r>
      <w:r>
        <w:br w:type="textWrapping"/>
      </w:r>
      <w:r>
        <w:t>страницы Договора. Договор вступает в силу с момента его заключения и действует до полного</w:t>
      </w:r>
      <w:r>
        <w:rPr>
          <w:rFonts w:hint="default"/>
          <w:lang w:val="ru-RU"/>
        </w:rPr>
        <w:t xml:space="preserve"> </w:t>
      </w:r>
      <w:r>
        <w:t>исполнения Сторонами всех обязательств.</w:t>
      </w:r>
    </w:p>
    <w:p w14:paraId="2AB159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6.2. Договор составлен в четырех подлинных экземплярах, имеющих равную юридическую</w:t>
      </w:r>
      <w:r>
        <w:rPr>
          <w:rFonts w:hint="default"/>
          <w:lang w:val="ru-RU"/>
        </w:rPr>
        <w:t xml:space="preserve"> </w:t>
      </w:r>
      <w:r>
        <w:t>силу, по одному экземпляру для Продавца и Покупателя, один экземпляр для регистрирующего</w:t>
      </w:r>
      <w:r>
        <w:rPr>
          <w:rFonts w:hint="default"/>
          <w:lang w:val="ru-RU"/>
        </w:rPr>
        <w:t xml:space="preserve"> </w:t>
      </w:r>
      <w:r>
        <w:t>органа Росреестра, и один экземпляр для направления в Арбитражный суд Московской области для</w:t>
      </w:r>
      <w:r>
        <w:rPr>
          <w:rFonts w:hint="default"/>
          <w:lang w:val="ru-RU"/>
        </w:rPr>
        <w:t xml:space="preserve"> </w:t>
      </w:r>
      <w:r>
        <w:t>приобщения в дело №А41-61957/2023</w:t>
      </w:r>
    </w:p>
    <w:p w14:paraId="4C1B72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both"/>
        <w:textAlignment w:val="auto"/>
      </w:pPr>
      <w:r>
        <w:t>.</w:t>
      </w:r>
    </w:p>
    <w:p w14:paraId="0923BE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00" w:firstLineChars="125"/>
        <w:jc w:val="center"/>
        <w:textAlignment w:val="auto"/>
        <w:rPr>
          <w:b/>
          <w:bCs/>
        </w:rPr>
      </w:pPr>
      <w:r>
        <w:rPr>
          <w:b/>
          <w:bCs/>
        </w:rPr>
        <w:t>7. Адреса и реквизиты сторон</w:t>
      </w:r>
    </w:p>
    <w:tbl>
      <w:tblPr>
        <w:tblStyle w:val="3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4"/>
        <w:gridCol w:w="4844"/>
      </w:tblGrid>
      <w:tr w14:paraId="31893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44" w:type="dxa"/>
          </w:tcPr>
          <w:p w14:paraId="61819C07">
            <w:pPr>
              <w:spacing w:before="0" w:after="0" w:line="240" w:lineRule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Покупатель</w:t>
            </w:r>
          </w:p>
        </w:tc>
        <w:tc>
          <w:tcPr>
            <w:tcW w:w="4844" w:type="dxa"/>
          </w:tcPr>
          <w:p w14:paraId="3FA5B1A9">
            <w:pPr>
              <w:spacing w:before="0" w:after="0" w:line="240" w:lineRule="auto"/>
              <w:ind w:firstLin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Продавец</w:t>
            </w:r>
          </w:p>
        </w:tc>
      </w:tr>
      <w:tr w14:paraId="46329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7" w:hRule="atLeast"/>
        </w:trPr>
        <w:tc>
          <w:tcPr>
            <w:tcW w:w="4844" w:type="dxa"/>
          </w:tcPr>
          <w:p w14:paraId="6D67D884">
            <w:pPr>
              <w:spacing w:before="0" w:after="0" w:line="240" w:lineRule="auto"/>
              <w:ind w:firstLine="0"/>
            </w:pPr>
            <w:r>
              <w:t>Наименование/Ф.И.О.</w:t>
            </w:r>
          </w:p>
          <w:p w14:paraId="443D9AD9">
            <w:pPr>
              <w:spacing w:before="0" w:after="0" w:line="240" w:lineRule="auto"/>
              <w:ind w:firstLine="0"/>
            </w:pPr>
            <w:r>
              <w:t>Паспорт (для физ.лиц и ИП)</w:t>
            </w:r>
          </w:p>
          <w:p w14:paraId="719D6988">
            <w:pPr>
              <w:spacing w:before="0" w:after="0" w:line="240" w:lineRule="auto"/>
              <w:ind w:firstLine="0"/>
            </w:pPr>
            <w:r>
              <w:t>Адрес</w:t>
            </w:r>
          </w:p>
          <w:p w14:paraId="618552F5">
            <w:pPr>
              <w:spacing w:before="0" w:after="0" w:line="240" w:lineRule="auto"/>
              <w:ind w:firstLine="0"/>
            </w:pPr>
            <w:r>
              <w:t>счет</w:t>
            </w:r>
          </w:p>
          <w:p w14:paraId="31BBE9B1">
            <w:pPr>
              <w:spacing w:before="0" w:after="0" w:line="240" w:lineRule="auto"/>
              <w:ind w:firstLine="0"/>
            </w:pPr>
            <w:r>
              <w:t>Банк</w:t>
            </w:r>
            <w:r>
              <w:br w:type="textWrapping"/>
            </w:r>
            <w:r>
              <w:t>Кор.счет</w:t>
            </w:r>
          </w:p>
          <w:p w14:paraId="14C4B637">
            <w:pPr>
              <w:spacing w:before="0" w:after="0" w:line="240" w:lineRule="auto"/>
              <w:ind w:firstLine="0"/>
            </w:pPr>
            <w:r>
              <w:t>БИК</w:t>
            </w:r>
            <w:r>
              <w:br w:type="textWrapping"/>
            </w:r>
            <w:r>
              <w:t>ИНН</w:t>
            </w:r>
            <w:r>
              <w:br w:type="textWrapping"/>
            </w:r>
            <w:r>
              <w:t>КПП (для юр.лиц)</w:t>
            </w:r>
            <w:r>
              <w:br w:type="textWrapping"/>
            </w:r>
            <w:r>
              <w:t>E-mail</w:t>
            </w:r>
            <w:r>
              <w:br w:type="textWrapping"/>
            </w:r>
            <w:r>
              <w:t>Телефон</w:t>
            </w:r>
          </w:p>
          <w:p w14:paraId="797186FD">
            <w:pPr>
              <w:spacing w:before="0" w:after="0" w:line="240" w:lineRule="auto"/>
              <w:ind w:firstLine="0"/>
            </w:pPr>
            <w:r>
              <w:br w:type="textWrapping"/>
            </w:r>
            <w:r>
              <w:t>________________________/____________ /</w:t>
            </w:r>
          </w:p>
        </w:tc>
        <w:tc>
          <w:tcPr>
            <w:tcW w:w="4844" w:type="dxa"/>
          </w:tcPr>
          <w:p w14:paraId="16121EAB">
            <w:pPr>
              <w:spacing w:before="0" w:after="0" w:line="240" w:lineRule="auto"/>
              <w:ind w:firstLine="0"/>
            </w:pPr>
            <w:r>
              <w:rPr>
                <w:b/>
                <w:bCs/>
              </w:rPr>
              <w:t>Конкурсный управляющий ООО «САНТОРИЯ»</w:t>
            </w:r>
            <w:r>
              <w:rPr>
                <w:rFonts w:hint="default"/>
                <w:b/>
                <w:bCs/>
                <w:lang w:val="ru-RU"/>
              </w:rPr>
              <w:t xml:space="preserve"> </w:t>
            </w:r>
            <w:r>
              <w:rPr>
                <w:b/>
                <w:bCs/>
              </w:rPr>
              <w:t>Федоткин Антон Андреевич</w:t>
            </w:r>
            <w:r>
              <w:br w:type="textWrapping"/>
            </w:r>
            <w:r>
              <w:t>(ИНН 519090286887, СНИЛС 094-347-553 93,</w:t>
            </w:r>
            <w:r>
              <w:rPr>
                <w:rFonts w:hint="default"/>
                <w:lang w:val="ru-RU"/>
              </w:rPr>
              <w:t xml:space="preserve"> </w:t>
            </w:r>
            <w:r>
              <w:t>почтовый адрес: 191119, г. Санкт</w:t>
            </w:r>
            <w:r>
              <w:rPr>
                <w:rFonts w:hint="default"/>
                <w:lang w:val="ru-RU"/>
              </w:rPr>
              <w:t xml:space="preserve"> </w:t>
            </w:r>
            <w:r>
              <w:t>Петербург, а/я 100,</w:t>
            </w:r>
            <w:r>
              <w:rPr>
                <w:rFonts w:hint="default"/>
                <w:lang w:val="ru-RU"/>
              </w:rPr>
              <w:t xml:space="preserve"> </w:t>
            </w:r>
            <w:r>
              <w:t>электронная почта:</w:t>
            </w:r>
            <w:r>
              <w:br w:type="textWrapping"/>
            </w:r>
            <w:r>
              <w:fldChar w:fldCharType="begin"/>
            </w:r>
            <w:r>
              <w:instrText xml:space="preserve"> HYPERLINK "mailto:fedotkinanton@gmail.com," </w:instrText>
            </w:r>
            <w:r>
              <w:fldChar w:fldCharType="separate"/>
            </w:r>
            <w:r>
              <w:rPr>
                <w:rStyle w:val="14"/>
              </w:rPr>
              <w:t>fedotkinanton@gmail.com,</w:t>
            </w:r>
            <w:r>
              <w:fldChar w:fldCharType="end"/>
            </w:r>
            <w:r>
              <w:rPr>
                <w:rFonts w:hint="default"/>
                <w:lang w:val="ru-RU"/>
              </w:rPr>
              <w:t xml:space="preserve"> </w:t>
            </w:r>
            <w:r>
              <w:t>тел.</w:t>
            </w:r>
            <w:r>
              <w:rPr>
                <w:rFonts w:hint="default"/>
                <w:lang w:val="ru-RU"/>
              </w:rPr>
              <w:t>+7-081-683-67-11</w:t>
            </w:r>
            <w:r>
              <w:t>), член Ассоциации СРО «МЦПУ» (ИНН</w:t>
            </w:r>
            <w:r>
              <w:br w:type="textWrapping"/>
            </w:r>
            <w:r>
              <w:t>7743069037)</w:t>
            </w:r>
          </w:p>
          <w:p w14:paraId="352A9FD7">
            <w:pPr>
              <w:spacing w:before="0" w:after="0" w:line="240" w:lineRule="auto"/>
              <w:ind w:firstLine="0"/>
            </w:pPr>
          </w:p>
          <w:p w14:paraId="116C1954">
            <w:pPr>
              <w:spacing w:before="0" w:after="0" w:line="240" w:lineRule="auto"/>
              <w:ind w:firstLine="0"/>
            </w:pPr>
            <w:r>
              <w:t>Банковские реквизиты: получатель: ООО «САНТОРИЯ»</w:t>
            </w:r>
            <w:r>
              <w:rPr>
                <w:rFonts w:hint="default"/>
                <w:lang w:val="ru-RU"/>
              </w:rPr>
              <w:t xml:space="preserve"> </w:t>
            </w:r>
            <w:r>
              <w:t>(ИНН 5048041332),</w:t>
            </w:r>
            <w:r>
              <w:br w:type="textWrapping"/>
            </w:r>
            <w:r>
              <w:t>р/с 40702 810 3 4000 0023333, к/с</w:t>
            </w:r>
            <w:r>
              <w:br w:type="textWrapping"/>
            </w:r>
            <w:r>
              <w:t>30101 810 4 0000 0000225, банк получателя:</w:t>
            </w:r>
            <w:r>
              <w:br w:type="textWrapping"/>
            </w:r>
            <w:r>
              <w:t>ПАО Сбербанк, БИК 044525225</w:t>
            </w:r>
          </w:p>
          <w:p w14:paraId="1F1A869B">
            <w:pPr>
              <w:spacing w:before="0" w:after="0" w:line="240" w:lineRule="auto"/>
              <w:ind w:firstLine="0"/>
            </w:pPr>
          </w:p>
          <w:p w14:paraId="4AB6E9F0">
            <w:pPr>
              <w:spacing w:before="0" w:after="0" w:line="240" w:lineRule="auto"/>
              <w:ind w:firstLine="0"/>
              <w:rPr>
                <w:b/>
                <w:bCs/>
                <w:lang w:val="ru-RU"/>
              </w:rPr>
            </w:pPr>
          </w:p>
          <w:p w14:paraId="14BCEDB9">
            <w:pPr>
              <w:spacing w:before="0" w:after="0" w:line="240" w:lineRule="auto"/>
              <w:ind w:firstLine="0"/>
              <w:rPr>
                <w:b/>
                <w:bCs/>
                <w:lang w:val="ru-RU"/>
              </w:rPr>
            </w:pPr>
          </w:p>
          <w:p w14:paraId="20F4CB00">
            <w:pPr>
              <w:spacing w:before="0" w:after="0" w:line="240" w:lineRule="auto"/>
              <w:ind w:firstLine="0"/>
              <w:rPr>
                <w:b/>
                <w:bCs/>
                <w:lang w:val="ru-RU"/>
              </w:rPr>
            </w:pPr>
          </w:p>
          <w:p w14:paraId="2FAD1ED1">
            <w:pPr>
              <w:spacing w:before="0" w:after="0" w:line="240" w:lineRule="auto"/>
              <w:ind w:firstLine="0"/>
              <w:rPr>
                <w:b/>
                <w:bCs/>
              </w:rPr>
            </w:pPr>
            <w:r>
              <w:rPr>
                <w:b/>
                <w:bCs/>
                <w:lang w:val="ru-RU"/>
              </w:rPr>
              <w:t>К</w:t>
            </w:r>
            <w:r>
              <w:rPr>
                <w:b/>
                <w:bCs/>
              </w:rPr>
              <w:t>онкурсный управляющий</w:t>
            </w:r>
          </w:p>
          <w:p w14:paraId="2D56B658">
            <w:pPr>
              <w:spacing w:before="0" w:after="0" w:line="240" w:lineRule="auto"/>
              <w:ind w:firstLine="0"/>
            </w:pPr>
            <w:r>
              <w:rPr>
                <w:b/>
                <w:bCs/>
              </w:rPr>
              <w:t>______________________/ Федоткин А.А. /</w:t>
            </w:r>
          </w:p>
        </w:tc>
      </w:tr>
    </w:tbl>
    <w:p w14:paraId="49BCA395"/>
    <w:sectPr>
      <w:pgSz w:w="12240" w:h="15840"/>
      <w:pgMar w:top="1134" w:right="1134" w:bottom="1134" w:left="1417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19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29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25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4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28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2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96C4C13"/>
    <w:rsid w:val="4CA5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qFormat="1" w:unhideWhenUsed="0" w:uiPriority="71" w:semiHidden="0" w:name="Colorful Shading Accent 1"/>
    <w:lsdException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240" w:lineRule="auto"/>
      <w:ind w:firstLine="709"/>
    </w:pPr>
    <w:rPr>
      <w:rFonts w:ascii="Times New Roman" w:hAnsi="Times New Roman" w:eastAsia="Times New Roman" w:cstheme="minorBidi"/>
      <w:sz w:val="24"/>
      <w:szCs w:val="22"/>
      <w:lang w:val="en-US" w:eastAsia="en-US" w:bidi="ar-SA"/>
    </w:rPr>
  </w:style>
  <w:style w:type="paragraph" w:styleId="2">
    <w:name w:val="heading 1"/>
    <w:basedOn w:val="1"/>
    <w:next w:val="1"/>
    <w:link w:val="41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42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4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53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54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55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56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57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0">
    <w:name w:val="heading 9"/>
    <w:basedOn w:val="1"/>
    <w:next w:val="1"/>
    <w:link w:val="58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mphasis"/>
    <w:basedOn w:val="11"/>
    <w:qFormat/>
    <w:uiPriority w:val="20"/>
    <w:rPr>
      <w:i/>
      <w:iCs/>
    </w:rPr>
  </w:style>
  <w:style w:type="character" w:styleId="14">
    <w:name w:val="Hyperlink"/>
    <w:basedOn w:val="11"/>
    <w:semiHidden/>
    <w:unhideWhenUsed/>
    <w:uiPriority w:val="99"/>
    <w:rPr>
      <w:color w:val="0000FF"/>
      <w:u w:val="single"/>
    </w:rPr>
  </w:style>
  <w:style w:type="character" w:styleId="15">
    <w:name w:val="Strong"/>
    <w:basedOn w:val="11"/>
    <w:qFormat/>
    <w:uiPriority w:val="22"/>
    <w:rPr>
      <w:b/>
      <w:bCs/>
    </w:rPr>
  </w:style>
  <w:style w:type="paragraph" w:styleId="16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17">
    <w:name w:val="Body Text 2"/>
    <w:basedOn w:val="1"/>
    <w:link w:val="48"/>
    <w:unhideWhenUsed/>
    <w:qFormat/>
    <w:uiPriority w:val="99"/>
    <w:pPr>
      <w:spacing w:after="120" w:line="480" w:lineRule="auto"/>
    </w:pPr>
  </w:style>
  <w:style w:type="paragraph" w:styleId="18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9">
    <w:name w:val="List Number 3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20">
    <w:name w:val="header"/>
    <w:basedOn w:val="1"/>
    <w:link w:val="38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1">
    <w:name w:val="Body Text"/>
    <w:basedOn w:val="1"/>
    <w:link w:val="47"/>
    <w:unhideWhenUsed/>
    <w:qFormat/>
    <w:uiPriority w:val="99"/>
    <w:pPr>
      <w:spacing w:after="120"/>
    </w:pPr>
  </w:style>
  <w:style w:type="paragraph" w:styleId="22">
    <w:name w:val="macro"/>
    <w:link w:val="50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23">
    <w:name w:val="List Bullet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24">
    <w:name w:val="List Bullet 2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25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26">
    <w:name w:val="Title"/>
    <w:basedOn w:val="1"/>
    <w:next w:val="1"/>
    <w:link w:val="44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paragraph" w:styleId="27">
    <w:name w:val="footer"/>
    <w:basedOn w:val="1"/>
    <w:link w:val="3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8">
    <w:name w:val="List Number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9">
    <w:name w:val="List Number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30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31">
    <w:name w:val="Body Text 3"/>
    <w:basedOn w:val="1"/>
    <w:link w:val="49"/>
    <w:unhideWhenUsed/>
    <w:qFormat/>
    <w:uiPriority w:val="99"/>
    <w:pPr>
      <w:spacing w:after="120"/>
    </w:pPr>
    <w:rPr>
      <w:sz w:val="16"/>
      <w:szCs w:val="16"/>
    </w:rPr>
  </w:style>
  <w:style w:type="paragraph" w:styleId="32">
    <w:name w:val="Subtitle"/>
    <w:basedOn w:val="1"/>
    <w:next w:val="1"/>
    <w:link w:val="45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33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4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5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36">
    <w:name w:val="List 3"/>
    <w:basedOn w:val="1"/>
    <w:unhideWhenUsed/>
    <w:qFormat/>
    <w:uiPriority w:val="99"/>
    <w:pPr>
      <w:ind w:left="1080" w:hanging="360"/>
      <w:contextualSpacing/>
    </w:pPr>
  </w:style>
  <w:style w:type="table" w:styleId="37">
    <w:name w:val="Table Grid"/>
    <w:basedOn w:val="1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8">
    <w:name w:val="Header Char"/>
    <w:basedOn w:val="11"/>
    <w:link w:val="20"/>
    <w:qFormat/>
    <w:uiPriority w:val="99"/>
  </w:style>
  <w:style w:type="character" w:customStyle="1" w:styleId="39">
    <w:name w:val="Footer Char"/>
    <w:basedOn w:val="11"/>
    <w:link w:val="27"/>
    <w:qFormat/>
    <w:uiPriority w:val="99"/>
  </w:style>
  <w:style w:type="paragraph" w:styleId="40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41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42">
    <w:name w:val="Heading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43">
    <w:name w:val="Heading 3 Char"/>
    <w:basedOn w:val="11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44">
    <w:name w:val="Title Char"/>
    <w:basedOn w:val="11"/>
    <w:link w:val="26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45">
    <w:name w:val="Subtitle Char"/>
    <w:basedOn w:val="11"/>
    <w:link w:val="3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46">
    <w:name w:val="List Paragraph"/>
    <w:basedOn w:val="1"/>
    <w:qFormat/>
    <w:uiPriority w:val="34"/>
    <w:pPr>
      <w:ind w:left="720"/>
      <w:contextualSpacing/>
    </w:pPr>
  </w:style>
  <w:style w:type="character" w:customStyle="1" w:styleId="47">
    <w:name w:val="Body Text Char"/>
    <w:basedOn w:val="11"/>
    <w:link w:val="21"/>
    <w:qFormat/>
    <w:uiPriority w:val="99"/>
  </w:style>
  <w:style w:type="character" w:customStyle="1" w:styleId="48">
    <w:name w:val="Body Text 2 Char"/>
    <w:basedOn w:val="11"/>
    <w:link w:val="17"/>
    <w:qFormat/>
    <w:uiPriority w:val="99"/>
  </w:style>
  <w:style w:type="character" w:customStyle="1" w:styleId="49">
    <w:name w:val="Body Text 3 Char"/>
    <w:basedOn w:val="11"/>
    <w:link w:val="31"/>
    <w:qFormat/>
    <w:uiPriority w:val="99"/>
    <w:rPr>
      <w:sz w:val="16"/>
      <w:szCs w:val="16"/>
    </w:rPr>
  </w:style>
  <w:style w:type="character" w:customStyle="1" w:styleId="50">
    <w:name w:val="Macro Text Char"/>
    <w:basedOn w:val="11"/>
    <w:link w:val="22"/>
    <w:qFormat/>
    <w:uiPriority w:val="99"/>
    <w:rPr>
      <w:rFonts w:ascii="Courier" w:hAnsi="Courier"/>
      <w:sz w:val="20"/>
      <w:szCs w:val="20"/>
    </w:rPr>
  </w:style>
  <w:style w:type="paragraph" w:styleId="51">
    <w:name w:val="Quote"/>
    <w:basedOn w:val="1"/>
    <w:next w:val="1"/>
    <w:link w:val="52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2">
    <w:name w:val="Quote Char"/>
    <w:basedOn w:val="11"/>
    <w:link w:val="51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3">
    <w:name w:val="Heading 4 Char"/>
    <w:basedOn w:val="11"/>
    <w:link w:val="5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54">
    <w:name w:val="Heading 5 Char"/>
    <w:basedOn w:val="11"/>
    <w:link w:val="6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55">
    <w:name w:val="Heading 6 Char"/>
    <w:basedOn w:val="11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56">
    <w:name w:val="Heading 7 Char"/>
    <w:basedOn w:val="11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7">
    <w:name w:val="Heading 8 Char"/>
    <w:basedOn w:val="11"/>
    <w:link w:val="9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58">
    <w:name w:val="Heading 9 Char"/>
    <w:basedOn w:val="11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59">
    <w:name w:val="Intense Quote"/>
    <w:basedOn w:val="1"/>
    <w:next w:val="1"/>
    <w:link w:val="60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0">
    <w:name w:val="Intense Quote Char"/>
    <w:basedOn w:val="11"/>
    <w:link w:val="59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1">
    <w:name w:val="Subtle Emphasis"/>
    <w:basedOn w:val="11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62">
    <w:name w:val="Intense Emphasis"/>
    <w:basedOn w:val="11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63">
    <w:name w:val="Subtle Reference"/>
    <w:basedOn w:val="11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64">
    <w:name w:val="Intense Reference"/>
    <w:basedOn w:val="11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65">
    <w:name w:val="Book Title"/>
    <w:basedOn w:val="11"/>
    <w:qFormat/>
    <w:uiPriority w:val="33"/>
    <w:rPr>
      <w:b/>
      <w:bCs/>
      <w:smallCaps/>
      <w:spacing w:val="5"/>
    </w:rPr>
  </w:style>
  <w:style w:type="paragraph" w:customStyle="1" w:styleId="66">
    <w:name w:val="TOC Heading"/>
    <w:basedOn w:val="2"/>
    <w:next w:val="1"/>
    <w:semiHidden/>
    <w:unhideWhenUsed/>
    <w:qFormat/>
    <w:uiPriority w:val="39"/>
    <w:pPr>
      <w:outlineLvl w:val="9"/>
    </w:pPr>
  </w:style>
  <w:style w:type="table" w:styleId="67">
    <w:name w:val="Light Shading"/>
    <w:basedOn w:val="1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68">
    <w:name w:val="Light Shading Accent 1"/>
    <w:basedOn w:val="1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69">
    <w:name w:val="Light Shading Accent 2"/>
    <w:basedOn w:val="1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70">
    <w:name w:val="Light Shading Accent 3"/>
    <w:basedOn w:val="1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71">
    <w:name w:val="Light Shading Accent 4"/>
    <w:basedOn w:val="1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72">
    <w:name w:val="Light Shading Accent 5"/>
    <w:basedOn w:val="1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73">
    <w:name w:val="Light Shading Accent 6"/>
    <w:basedOn w:val="1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74">
    <w:name w:val="Light List"/>
    <w:basedOn w:val="1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75">
    <w:name w:val="Light List Accent 1"/>
    <w:basedOn w:val="1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76">
    <w:name w:val="Light List Accent 2"/>
    <w:basedOn w:val="1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77">
    <w:name w:val="Light List Accent 3"/>
    <w:basedOn w:val="1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78">
    <w:name w:val="Light List Accent 4"/>
    <w:basedOn w:val="1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79">
    <w:name w:val="Light List Accent 5"/>
    <w:basedOn w:val="1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80">
    <w:name w:val="Light List Accent 6"/>
    <w:basedOn w:val="1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81">
    <w:name w:val="Light Grid"/>
    <w:basedOn w:val="1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82">
    <w:name w:val="Light Grid Accent 1"/>
    <w:basedOn w:val="1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83">
    <w:name w:val="Light Grid Accent 2"/>
    <w:basedOn w:val="1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84">
    <w:name w:val="Light Grid Accent 3"/>
    <w:basedOn w:val="1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85">
    <w:name w:val="Light Grid Accent 4"/>
    <w:basedOn w:val="1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86">
    <w:name w:val="Light Grid Accent 5"/>
    <w:basedOn w:val="12"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87">
    <w:name w:val="Light Grid Accent 6"/>
    <w:basedOn w:val="1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88">
    <w:name w:val="Medium Shading 1"/>
    <w:basedOn w:val="1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89">
    <w:name w:val="Medium Shading 1 Accent 1"/>
    <w:basedOn w:val="1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0">
    <w:name w:val="Medium Shading 1 Accent 2"/>
    <w:basedOn w:val="1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1">
    <w:name w:val="Medium Shading 1 Accent 3"/>
    <w:basedOn w:val="1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2">
    <w:name w:val="Medium Shading 1 Accent 4"/>
    <w:basedOn w:val="1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3">
    <w:name w:val="Medium Shading 1 Accent 5"/>
    <w:basedOn w:val="1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4">
    <w:name w:val="Medium Shading 1 Accent 6"/>
    <w:basedOn w:val="1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styleId="95">
    <w:name w:val="Medium Shading 2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6">
    <w:name w:val="Medium Shading 2 Accent 1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7">
    <w:name w:val="Medium Shading 2 Accent 2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8">
    <w:name w:val="Medium Shading 2 Accent 3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99">
    <w:name w:val="Medium Shading 2 Accent 4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0">
    <w:name w:val="Medium Shading 2 Accent 5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1">
    <w:name w:val="Medium Shading 2 Accent 6"/>
    <w:basedOn w:val="1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cPr>
        <w:shd w:val="clear" w:color="auto" w:fill="D7D7D7" w:themeFill="background1" w:themeFillShade="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02">
    <w:name w:val="Medium List 1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cPr>
        <w:shd w:val="clear" w:color="auto" w:fill="BFBFBF" w:themeFill="text1" w:themeFillTint="3F"/>
      </w:tcPr>
    </w:tblStylePr>
    <w:tblStylePr w:type="band1Horz">
      <w:tcPr>
        <w:shd w:val="clear" w:color="auto" w:fill="BFBFBF" w:themeFill="text1" w:themeFillTint="3F"/>
      </w:tcPr>
    </w:tblStylePr>
  </w:style>
  <w:style w:type="table" w:styleId="103">
    <w:name w:val="Medium List 1 Accent 1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cPr>
        <w:shd w:val="clear" w:color="auto" w:fill="D3DFEE" w:themeFill="accent1" w:themeFillTint="3F"/>
      </w:tcPr>
    </w:tblStylePr>
    <w:tblStylePr w:type="band1Horz">
      <w:tcPr>
        <w:shd w:val="clear" w:color="auto" w:fill="D3DFEE" w:themeFill="accent1" w:themeFillTint="3F"/>
      </w:tcPr>
    </w:tblStylePr>
  </w:style>
  <w:style w:type="table" w:styleId="104">
    <w:name w:val="Medium List 1 Accent 2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cPr>
        <w:shd w:val="clear" w:color="auto" w:fill="EFD3D3" w:themeFill="accent2" w:themeFillTint="3F"/>
      </w:tcPr>
    </w:tblStylePr>
    <w:tblStylePr w:type="band1Horz">
      <w:tcPr>
        <w:shd w:val="clear" w:color="auto" w:fill="EFD3D3" w:themeFill="accent2" w:themeFillTint="3F"/>
      </w:tcPr>
    </w:tblStylePr>
  </w:style>
  <w:style w:type="table" w:styleId="105">
    <w:name w:val="Medium List 1 Accent 3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cPr>
        <w:shd w:val="clear" w:color="auto" w:fill="E6EED5" w:themeFill="accent3" w:themeFillTint="3F"/>
      </w:tcPr>
    </w:tblStylePr>
    <w:tblStylePr w:type="band1Horz">
      <w:tcPr>
        <w:shd w:val="clear" w:color="auto" w:fill="E6EED5" w:themeFill="accent3" w:themeFillTint="3F"/>
      </w:tcPr>
    </w:tblStylePr>
  </w:style>
  <w:style w:type="table" w:styleId="106">
    <w:name w:val="Medium List 1 Accent 4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cPr>
        <w:shd w:val="clear" w:color="auto" w:fill="DFD8E8" w:themeFill="accent4" w:themeFillTint="3F"/>
      </w:tcPr>
    </w:tblStylePr>
    <w:tblStylePr w:type="band1Horz">
      <w:tcPr>
        <w:shd w:val="clear" w:color="auto" w:fill="DFD8E8" w:themeFill="accent4" w:themeFillTint="3F"/>
      </w:tcPr>
    </w:tblStylePr>
  </w:style>
  <w:style w:type="table" w:styleId="107">
    <w:name w:val="Medium List 1 Accent 5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cPr>
        <w:shd w:val="clear" w:color="auto" w:fill="D2EAF0" w:themeFill="accent5" w:themeFillTint="3F"/>
      </w:tcPr>
    </w:tblStylePr>
    <w:tblStylePr w:type="band1Horz">
      <w:tcPr>
        <w:shd w:val="clear" w:color="auto" w:fill="D2EAF0" w:themeFill="accent5" w:themeFillTint="3F"/>
      </w:tcPr>
    </w:tblStylePr>
  </w:style>
  <w:style w:type="table" w:styleId="108">
    <w:name w:val="Medium List 1 Accent 6"/>
    <w:basedOn w:val="1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cPr>
        <w:shd w:val="clear" w:color="auto" w:fill="FDE5D1" w:themeFill="accent6" w:themeFillTint="3F"/>
      </w:tcPr>
    </w:tblStylePr>
    <w:tblStylePr w:type="band1Horz">
      <w:tcPr>
        <w:shd w:val="clear" w:color="auto" w:fill="FDE5D1" w:themeFill="accent6" w:themeFillTint="3F"/>
      </w:tcPr>
    </w:tblStylePr>
  </w:style>
  <w:style w:type="table" w:styleId="109">
    <w:name w:val="Medium List 2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0">
    <w:name w:val="Medium List 2 Accent 1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1">
    <w:name w:val="Medium List 2 Accent 2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2">
    <w:name w:val="Medium List 2 Accent 3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3">
    <w:name w:val="Medium List 2 Accent 4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4">
    <w:name w:val="Medium List 2 Accent 5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5">
    <w:name w:val="Medium List 2 Accent 6"/>
    <w:basedOn w:val="1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cPr>
        <w:shd w:val="clear" w:color="auto" w:fill="FFFFFF" w:themeFill="background1"/>
      </w:tcPr>
    </w:tblStylePr>
    <w:tblStylePr w:type="swCell">
      <w:tcPr>
        <w:tcBorders>
          <w:top w:val="nil"/>
        </w:tcBorders>
      </w:tcPr>
    </w:tblStylePr>
  </w:style>
  <w:style w:type="table" w:styleId="116">
    <w:name w:val="Medium Grid 1"/>
    <w:basedOn w:val="1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17">
    <w:name w:val="Medium Grid 1 Accent 1"/>
    <w:basedOn w:val="1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18">
    <w:name w:val="Medium Grid 1 Accent 2"/>
    <w:basedOn w:val="1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19">
    <w:name w:val="Medium Grid 1 Accent 3"/>
    <w:basedOn w:val="1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20">
    <w:name w:val="Medium Grid 1 Accent 4"/>
    <w:basedOn w:val="1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21">
    <w:name w:val="Medium Grid 1 Accent 5"/>
    <w:basedOn w:val="1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22">
    <w:name w:val="Medium Grid 1 Accent 6"/>
    <w:basedOn w:val="1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  <w:style w:type="table" w:styleId="123">
    <w:name w:val="Medium Grid 2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4">
    <w:name w:val="Medium Grid 2 Accent 1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5">
    <w:name w:val="Medium Grid 2 Accent 2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6">
    <w:name w:val="Medium Grid 2 Accent 3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7">
    <w:name w:val="Medium Grid 2 Accent 4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8">
    <w:name w:val="Medium Grid 2 Accent 5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29">
    <w:name w:val="Medium Grid 2 Accent 6"/>
    <w:basedOn w:val="1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cPr>
        <w:shd w:val="clear" w:color="auto" w:fill="FFFFFF" w:themeFill="background1"/>
      </w:tcPr>
    </w:tblStylePr>
  </w:style>
  <w:style w:type="table" w:styleId="130">
    <w:name w:val="Medium Grid 3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31">
    <w:name w:val="Medium Grid 3 Accent 1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132">
    <w:name w:val="Medium Grid 3 Accent 2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33">
    <w:name w:val="Medium Grid 3 Accent 3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34">
    <w:name w:val="Medium Grid 3 Accent 4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35">
    <w:name w:val="Medium Grid 3 Accent 5"/>
    <w:basedOn w:val="1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36">
    <w:name w:val="Medium Grid 3 Accent 6"/>
    <w:basedOn w:val="1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37">
    <w:name w:val="Dark List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38">
    <w:name w:val="Dark List Accent 1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39">
    <w:name w:val="Dark List Accent 2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40">
    <w:name w:val="Dark List Accent 3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41">
    <w:name w:val="Dark List Accent 4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42">
    <w:name w:val="Dark List Accent 5"/>
    <w:basedOn w:val="1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43">
    <w:name w:val="Dark List Accent 6"/>
    <w:basedOn w:val="1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44">
    <w:name w:val="Colorful Shading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5">
    <w:name w:val="Colorful Shading Accent 1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6">
    <w:name w:val="Colorful Shading Accent 2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cPr>
        <w:shd w:val="clear" w:color="auto" w:fill="E5B8B7" w:themeFill="accent2" w:themeFillTint="66"/>
      </w:tcPr>
    </w:tblStylePr>
    <w:tblStylePr w:type="band1Horz"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7">
    <w:name w:val="Colorful Shading Accent 3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cPr>
        <w:shd w:val="clear" w:color="auto" w:fill="D6E3BC" w:themeFill="accent3" w:themeFillTint="66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48">
    <w:name w:val="Colorful Shading Accent 4"/>
    <w:basedOn w:val="1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cPr>
        <w:shd w:val="clear" w:color="auto" w:fill="CCC0D9" w:themeFill="accent4" w:themeFillTint="66"/>
      </w:tcPr>
    </w:tblStylePr>
    <w:tblStylePr w:type="band1Horz"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49">
    <w:name w:val="Colorful Shading Accent 5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cPr>
        <w:shd w:val="clear" w:color="auto" w:fill="B6DDE8" w:themeFill="accent5" w:themeFillTint="66"/>
      </w:tcPr>
    </w:tblStylePr>
    <w:tblStylePr w:type="band1Horz"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50">
    <w:name w:val="Colorful Shading Accent 6"/>
    <w:basedOn w:val="1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cPr>
        <w:shd w:val="clear" w:color="auto" w:fill="FBD4B4" w:themeFill="accent6" w:themeFillTint="66"/>
      </w:tcPr>
    </w:tblStylePr>
    <w:tblStylePr w:type="band1Horz"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51">
    <w:name w:val="Colorful List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cPr>
        <w:shd w:val="clear" w:color="auto" w:fill="CCCCCC" w:themeFill="text1" w:themeFillTint="33"/>
      </w:tcPr>
    </w:tblStylePr>
  </w:style>
  <w:style w:type="table" w:styleId="152">
    <w:name w:val="Colorful List Accent 1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cPr>
        <w:shd w:val="clear" w:color="auto" w:fill="DBE5F1" w:themeFill="accent1" w:themeFillTint="33"/>
      </w:tcPr>
    </w:tblStylePr>
  </w:style>
  <w:style w:type="table" w:styleId="153">
    <w:name w:val="Colorful List Accent 2"/>
    <w:basedOn w:val="1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cPr>
        <w:shd w:val="clear" w:color="auto" w:fill="F2DBDB" w:themeFill="accent2" w:themeFillTint="33"/>
      </w:tcPr>
    </w:tblStylePr>
  </w:style>
  <w:style w:type="table" w:styleId="154">
    <w:name w:val="Colorful List Accent 3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cPr>
        <w:shd w:val="clear" w:color="auto" w:fill="EAF1DD" w:themeFill="accent3" w:themeFillTint="33"/>
      </w:tcPr>
    </w:tblStylePr>
  </w:style>
  <w:style w:type="table" w:styleId="155">
    <w:name w:val="Colorful List Accent 4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cPr>
        <w:shd w:val="clear" w:color="auto" w:fill="E5DFEC" w:themeFill="accent4" w:themeFillTint="33"/>
      </w:tcPr>
    </w:tblStylePr>
  </w:style>
  <w:style w:type="table" w:styleId="156">
    <w:name w:val="Colorful List Accent 5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cPr>
        <w:shd w:val="clear" w:color="auto" w:fill="DAEEF3" w:themeFill="accent5" w:themeFillTint="33"/>
      </w:tcPr>
    </w:tblStylePr>
  </w:style>
  <w:style w:type="table" w:styleId="157">
    <w:name w:val="Colorful List Accent 6"/>
    <w:basedOn w:val="1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cPr>
        <w:shd w:val="clear" w:color="auto" w:fill="FDE9D9" w:themeFill="accent6" w:themeFillTint="33"/>
      </w:tcPr>
    </w:tblStylePr>
  </w:style>
  <w:style w:type="table" w:styleId="158">
    <w:name w:val="Colorful Grid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 w:themeFillShade="BF"/>
      </w:tcPr>
    </w:tblStylePr>
    <w:tblStylePr w:type="band1Vert">
      <w:tcPr>
        <w:shd w:val="clear" w:color="auto" w:fill="7F7F7F" w:themeFill="text1" w:themeFillTint="7F"/>
      </w:tcPr>
    </w:tblStylePr>
    <w:tblStylePr w:type="band1Horz">
      <w:tcPr>
        <w:shd w:val="clear" w:color="auto" w:fill="7F7F7F" w:themeFill="text1" w:themeFillTint="7F"/>
      </w:tcPr>
    </w:tblStylePr>
  </w:style>
  <w:style w:type="table" w:styleId="159">
    <w:name w:val="Colorful Grid Accent 1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66091" w:themeFill="accent1" w:themeFillShade="BF"/>
      </w:tcPr>
    </w:tblStylePr>
    <w:tblStylePr w:type="band1Vert">
      <w:tcPr>
        <w:shd w:val="clear" w:color="auto" w:fill="A7C0DE" w:themeFill="accent1" w:themeFillTint="7F"/>
      </w:tcPr>
    </w:tblStylePr>
    <w:tblStylePr w:type="band1Horz">
      <w:tcPr>
        <w:shd w:val="clear" w:color="auto" w:fill="A7C0DE" w:themeFill="accent1" w:themeFillTint="7F"/>
      </w:tcPr>
    </w:tblStylePr>
  </w:style>
  <w:style w:type="table" w:styleId="160">
    <w:name w:val="Colorful Grid Accent 2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43734" w:themeFill="accent2" w:themeFillShade="BF"/>
      </w:tcPr>
    </w:tblStylePr>
    <w:tblStylePr w:type="band1Vert">
      <w:tcPr>
        <w:shd w:val="clear" w:color="auto" w:fill="DFA7A6" w:themeFill="accent2" w:themeFillTint="7F"/>
      </w:tcPr>
    </w:tblStylePr>
    <w:tblStylePr w:type="band1Horz">
      <w:tcPr>
        <w:shd w:val="clear" w:color="auto" w:fill="DFA7A6" w:themeFill="accent2" w:themeFillTint="7F"/>
      </w:tcPr>
    </w:tblStylePr>
  </w:style>
  <w:style w:type="table" w:styleId="161">
    <w:name w:val="Colorful Grid Accent 3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6923C" w:themeFill="accent3" w:themeFillShade="BF"/>
      </w:tcPr>
    </w:tblStylePr>
    <w:tblStylePr w:type="band1Vert">
      <w:tcPr>
        <w:shd w:val="clear" w:color="auto" w:fill="CDDDAC" w:themeFill="accent3" w:themeFillTint="7F"/>
      </w:tcPr>
    </w:tblStylePr>
    <w:tblStylePr w:type="band1Horz">
      <w:tcPr>
        <w:shd w:val="clear" w:color="auto" w:fill="CDDDAC" w:themeFill="accent3" w:themeFillTint="7F"/>
      </w:tcPr>
    </w:tblStylePr>
  </w:style>
  <w:style w:type="table" w:styleId="162">
    <w:name w:val="Colorful Grid Accent 4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F497A" w:themeFill="accent4" w:themeFillShade="BF"/>
      </w:tcPr>
    </w:tblStylePr>
    <w:tblStylePr w:type="band1Vert">
      <w:tcPr>
        <w:shd w:val="clear" w:color="auto" w:fill="BFB1D0" w:themeFill="accent4" w:themeFillTint="7F"/>
      </w:tcPr>
    </w:tblStylePr>
    <w:tblStylePr w:type="band1Horz">
      <w:tcPr>
        <w:shd w:val="clear" w:color="auto" w:fill="BFB1D0" w:themeFill="accent4" w:themeFillTint="7F"/>
      </w:tcPr>
    </w:tblStylePr>
  </w:style>
  <w:style w:type="table" w:styleId="163">
    <w:name w:val="Colorful Grid Accent 5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31849B" w:themeFill="accent5" w:themeFillShade="BF"/>
      </w:tcPr>
    </w:tblStylePr>
    <w:tblStylePr w:type="band1Vert">
      <w:tcPr>
        <w:shd w:val="clear" w:color="auto" w:fill="A5D5E2" w:themeFill="accent5" w:themeFillTint="7F"/>
      </w:tcPr>
    </w:tblStylePr>
    <w:tblStylePr w:type="band1Horz">
      <w:tcPr>
        <w:shd w:val="clear" w:color="auto" w:fill="A5D5E2" w:themeFill="accent5" w:themeFillTint="7F"/>
      </w:tcPr>
    </w:tblStylePr>
  </w:style>
  <w:style w:type="table" w:styleId="164">
    <w:name w:val="Colorful Grid Accent 6"/>
    <w:basedOn w:val="1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36C09" w:themeFill="accent6" w:themeFillShade="BF"/>
      </w:tcPr>
    </w:tblStylePr>
    <w:tblStylePr w:type="band1Vert">
      <w:tcPr>
        <w:shd w:val="clear" w:color="auto" w:fill="FBCAA2" w:themeFill="accent6" w:themeFillTint="7F"/>
      </w:tcPr>
    </w:tblStylePr>
    <w:tblStylePr w:type="band1Horz">
      <w:tcPr>
        <w:shd w:val="clear" w:color="auto" w:fill="FBCAA2" w:themeFill="accent6" w:themeFillTint="7F"/>
      </w:tc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Евгений Поздняк�</cp:lastModifiedBy>
  <dcterms:modified xsi:type="dcterms:W3CDTF">2026-01-23T11:22:36Z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34DD0EF172144E76978723760B3B372A_12</vt:lpwstr>
  </property>
</Properties>
</file>