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F5A30D">
      <w:pPr>
        <w:ind w:firstLine="0"/>
        <w:jc w:val="center"/>
        <w:rPr>
          <w:b/>
          <w:bCs/>
        </w:rPr>
      </w:pPr>
      <w:r>
        <w:rPr>
          <w:b/>
          <w:bCs/>
        </w:rPr>
        <w:t>ДОГОВОР О ЗАДАТКЕ № ________</w:t>
      </w:r>
    </w:p>
    <w:p w14:paraId="7B81C665">
      <w:pPr>
        <w:ind w:firstLine="0"/>
        <w:jc w:val="left"/>
      </w:pPr>
      <w:r>
        <w:rPr>
          <w:rFonts w:hint="default"/>
          <w:lang w:val="ru-RU"/>
        </w:rPr>
        <w:t xml:space="preserve">Д. СКУРЫГИНО, Г. ЧЕХОВ                                        </w:t>
      </w:r>
      <w:r>
        <w:t>«____»_____________________202</w:t>
      </w:r>
      <w:r>
        <w:rPr>
          <w:rFonts w:hint="default"/>
          <w:lang w:val="ru-RU"/>
        </w:rPr>
        <w:t xml:space="preserve">6 </w:t>
      </w:r>
      <w:r>
        <w:t>года.</w:t>
      </w:r>
    </w:p>
    <w:p w14:paraId="06E975D9">
      <w:pPr>
        <w:ind w:firstLine="0"/>
        <w:jc w:val="both"/>
      </w:pPr>
      <w:bookmarkStart w:id="0" w:name="_GoBack"/>
      <w:bookmarkEnd w:id="0"/>
    </w:p>
    <w:p w14:paraId="58EA66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</w:p>
    <w:p w14:paraId="277ED7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rPr>
          <w:b/>
          <w:bCs/>
        </w:rPr>
        <w:t xml:space="preserve">Конкурсный управляющий Общество с ограниченной ответственностью «САНТОРИЯ» Федоткин Антон Андреевич </w:t>
      </w:r>
      <w:r>
        <w:t>(ИНН 519090286887, СНИЛС 094-347-553 93,</w:t>
      </w:r>
      <w:r>
        <w:br w:type="textWrapping"/>
      </w:r>
      <w:r>
        <w:t xml:space="preserve">почтовый адрес: 191119, г. Санкт-Петербург, а/я 100, электронная почта: </w:t>
      </w:r>
      <w:r>
        <w:fldChar w:fldCharType="begin"/>
      </w:r>
      <w:r>
        <w:instrText xml:space="preserve"> HYPERLINK "mailto:fedotkinanton@gmail.com," </w:instrText>
      </w:r>
      <w:r>
        <w:fldChar w:fldCharType="separate"/>
      </w:r>
      <w:r>
        <w:rPr>
          <w:rStyle w:val="14"/>
        </w:rPr>
        <w:t>fedotkinanton@gmail.com,</w:t>
      </w:r>
      <w:r>
        <w:fldChar w:fldCharType="end"/>
      </w:r>
      <w:r>
        <w:rPr>
          <w:rFonts w:hint="default"/>
          <w:lang w:val="ru-RU"/>
        </w:rPr>
        <w:t xml:space="preserve"> </w:t>
      </w:r>
      <w:r>
        <w:t>тел</w:t>
      </w:r>
      <w:r>
        <w:rPr>
          <w:rFonts w:hint="default"/>
        </w:rPr>
        <w:t>.+7-981-683-67-11</w:t>
      </w:r>
      <w:r>
        <w:t>), член Ассоциации СРО «МЦПУ» (ИНН 7743069037, юр.адрес: 123557, г. Москва, пер. Большой Тишинский, д. 38, эт/пом/ком 1/II/35), действующий на основании</w:t>
      </w:r>
      <w:r>
        <w:rPr>
          <w:rFonts w:hint="default"/>
          <w:lang w:val="ru-RU"/>
        </w:rPr>
        <w:t xml:space="preserve"> </w:t>
      </w:r>
      <w:r>
        <w:t>решения Арбитражного суда Московской области от 20.12.2024 по делу № А41-61957/2023,</w:t>
      </w:r>
      <w:r>
        <w:rPr>
          <w:rFonts w:hint="default"/>
          <w:lang w:val="ru-RU"/>
        </w:rPr>
        <w:t xml:space="preserve"> </w:t>
      </w:r>
      <w:r>
        <w:t xml:space="preserve">именуемый в дальнейшем </w:t>
      </w:r>
      <w:r>
        <w:rPr>
          <w:b/>
          <w:bCs/>
        </w:rPr>
        <w:t>«Организатор Торгов»,</w:t>
      </w:r>
      <w:r>
        <w:t xml:space="preserve"> с одной стороны, и</w:t>
      </w:r>
    </w:p>
    <w:p w14:paraId="3706A4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__________________________________ присоединившийся к настоящему договору, именуемый</w:t>
      </w:r>
      <w:r>
        <w:rPr>
          <w:rFonts w:hint="default"/>
          <w:lang w:val="ru-RU"/>
        </w:rPr>
        <w:t xml:space="preserve"> </w:t>
      </w:r>
      <w:r>
        <w:t xml:space="preserve">в дальнейшем </w:t>
      </w:r>
      <w:r>
        <w:rPr>
          <w:b/>
          <w:bCs/>
        </w:rPr>
        <w:t>«Претендент»</w:t>
      </w:r>
      <w:r>
        <w:t>, на участие в торгах по продаже имущества</w:t>
      </w:r>
      <w:r>
        <w:rPr>
          <w:rFonts w:hint="default"/>
          <w:lang w:val="ru-RU"/>
        </w:rPr>
        <w:t xml:space="preserve"> О</w:t>
      </w:r>
      <w:r>
        <w:t>ОО «САНТОРИЯ» (далее - Должник) с другой стороны,</w:t>
      </w:r>
    </w:p>
    <w:p w14:paraId="1675BC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rPr>
          <w:b/>
          <w:bCs/>
        </w:rPr>
        <w:t xml:space="preserve">ООО «Балтийская электронная площадка» </w:t>
      </w:r>
      <w:r>
        <w:t>(ИНН</w:t>
      </w:r>
      <w:r>
        <w:rPr>
          <w:rFonts w:hint="default"/>
          <w:lang w:val="ru-RU"/>
        </w:rPr>
        <w:t xml:space="preserve"> </w:t>
      </w:r>
      <w:r>
        <w:t>7810596232, адрес: 197022, г. Санкт-Петербург, ул. Профессора Попова, д. 23, литер В, помещение 51Н,5Н), именуемое в дальнейшем</w:t>
      </w:r>
      <w:r>
        <w:rPr>
          <w:b/>
          <w:bCs/>
        </w:rPr>
        <w:t xml:space="preserve"> «Оператор электронной площадки»,</w:t>
      </w:r>
      <w:r>
        <w:rPr>
          <w:rFonts w:hint="default"/>
          <w:lang w:val="ru-RU"/>
        </w:rPr>
        <w:t xml:space="preserve"> </w:t>
      </w:r>
      <w:r>
        <w:t xml:space="preserve">именуемые совместно </w:t>
      </w:r>
      <w:r>
        <w:rPr>
          <w:b/>
          <w:bCs/>
        </w:rPr>
        <w:t>«Стороны»,</w:t>
      </w:r>
      <w:r>
        <w:t xml:space="preserve"> в соответствии с требованиями ст.ст. 380, 381, 428 ГК РФ,</w:t>
      </w:r>
      <w:r>
        <w:rPr>
          <w:rFonts w:hint="default"/>
          <w:lang w:val="ru-RU"/>
        </w:rPr>
        <w:t xml:space="preserve"> </w:t>
      </w:r>
      <w:r>
        <w:t>заключили настоящий Договор (далее – Договор) о нижеследующем:</w:t>
      </w:r>
    </w:p>
    <w:p w14:paraId="1BA426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</w:p>
    <w:p w14:paraId="776AED0A">
      <w:pPr>
        <w:ind w:firstLine="709"/>
        <w:jc w:val="both"/>
      </w:pPr>
      <w:r>
        <w:t>1. В соответствии с условиями Договора Претендент на участие в торгах по продаже имущества</w:t>
      </w:r>
      <w:r>
        <w:rPr>
          <w:rFonts w:hint="default"/>
          <w:lang w:val="ru-RU"/>
        </w:rPr>
        <w:t xml:space="preserve"> </w:t>
      </w:r>
      <w:r>
        <w:t>Должника включенного в состав Лота № __, проводимых на электронной площадке ООО «Балтийская электронная площадка»</w:t>
      </w:r>
      <w:r>
        <w:rPr>
          <w:rFonts w:hint="default"/>
          <w:lang w:val="ru-RU"/>
        </w:rPr>
        <w:t xml:space="preserve"> </w:t>
      </w:r>
      <w:r>
        <w:t>с __.__.2026 (далее – Торги),</w:t>
      </w:r>
      <w:r>
        <w:rPr>
          <w:rFonts w:hint="default"/>
          <w:lang w:val="ru-RU"/>
        </w:rPr>
        <w:t xml:space="preserve"> </w:t>
      </w:r>
      <w:r>
        <w:t>объявление о которых было опубликовано в газете «Коммерсантъ» № ___ от 07.02.2026 г.,</w:t>
      </w:r>
      <w:r>
        <w:rPr>
          <w:rFonts w:hint="default"/>
          <w:lang w:val="ru-RU"/>
        </w:rPr>
        <w:t xml:space="preserve"> </w:t>
      </w:r>
      <w:r>
        <w:t>объявление №__________, перечисляет денежные средства в размере ________________</w:t>
      </w:r>
      <w:r>
        <w:rPr>
          <w:rFonts w:hint="default"/>
          <w:lang w:val="ru-RU"/>
        </w:rPr>
        <w:t xml:space="preserve"> </w:t>
      </w:r>
      <w:r>
        <w:t>(_____________________________) рублей ___ копеек (НДС не облагается) (далее – «Задаток») на</w:t>
      </w:r>
      <w:r>
        <w:rPr>
          <w:rFonts w:hint="default"/>
          <w:lang w:val="ru-RU"/>
        </w:rPr>
        <w:t xml:space="preserve"> </w:t>
      </w:r>
      <w:r>
        <w:t>расчетный счет Оператора электронной площадки, указанный в п. 1.1 Договора. Задаток</w:t>
      </w:r>
      <w:r>
        <w:rPr>
          <w:rFonts w:hint="default"/>
          <w:lang w:val="ru-RU"/>
        </w:rPr>
        <w:t xml:space="preserve"> </w:t>
      </w:r>
      <w:r>
        <w:t>обеспечивает обязательства Претендента, связанные с его участием в Торгах, в т.ч. обязательства по</w:t>
      </w:r>
      <w:r>
        <w:rPr>
          <w:rFonts w:hint="default"/>
          <w:lang w:val="ru-RU"/>
        </w:rPr>
        <w:t xml:space="preserve"> </w:t>
      </w:r>
      <w:r>
        <w:t>заключению договора купли-продажи имущества Должника и его исполнению.</w:t>
      </w:r>
    </w:p>
    <w:p w14:paraId="29F277D1">
      <w:pPr>
        <w:ind w:firstLine="709"/>
        <w:jc w:val="both"/>
      </w:pPr>
      <w:r>
        <w:t>1.1. Реквизиты счета для перечисления Задатка: получатель — ООО «Балтийская электронная</w:t>
      </w:r>
      <w:r>
        <w:rPr>
          <w:rFonts w:hint="default"/>
          <w:lang w:val="ru-RU"/>
        </w:rPr>
        <w:t xml:space="preserve"> </w:t>
      </w:r>
      <w:r>
        <w:t xml:space="preserve">площадка» </w:t>
      </w:r>
      <w:r>
        <w:rPr>
          <w:highlight w:val="red"/>
        </w:rPr>
        <w:t>(ИНН 7810596232, КПП 781301001), р/с 40702810212010610457 в Филиале «Корпоративный» ПАО «Совкомбанк», к/с 30101810445250000360, БИК 044525360.</w:t>
      </w:r>
    </w:p>
    <w:p w14:paraId="6405BF77">
      <w:pPr>
        <w:ind w:firstLine="709"/>
        <w:jc w:val="both"/>
      </w:pPr>
      <w:r>
        <w:t>2. Задаток считается внесенным с даты поступления всей суммы Задатка на данный счет.</w:t>
      </w:r>
    </w:p>
    <w:p w14:paraId="6D8723F7">
      <w:pPr>
        <w:ind w:firstLine="709"/>
        <w:jc w:val="both"/>
      </w:pPr>
      <w:r>
        <w:t>3. В случае, если сумма Задатка не зачислена на расчетный счет, указанный в п. 1.1 Договора в</w:t>
      </w:r>
      <w:r>
        <w:rPr>
          <w:rFonts w:hint="default"/>
          <w:lang w:val="ru-RU"/>
        </w:rPr>
        <w:t xml:space="preserve"> </w:t>
      </w:r>
      <w:r>
        <w:t>срок до даты окончания представления заявок на участие в торгах, Претендент не допускается к</w:t>
      </w:r>
      <w:r>
        <w:rPr>
          <w:rFonts w:hint="default"/>
          <w:lang w:val="ru-RU"/>
        </w:rPr>
        <w:t xml:space="preserve"> </w:t>
      </w:r>
      <w:r>
        <w:t>участию в Торгах. Представление Претендентом платежных документов с отметкой банка при этом</w:t>
      </w:r>
      <w:r>
        <w:rPr>
          <w:rFonts w:hint="default"/>
          <w:lang w:val="ru-RU"/>
        </w:rPr>
        <w:t xml:space="preserve"> </w:t>
      </w:r>
      <w:r>
        <w:t>во внимание Организатором Торгов не принимается. Документом, подтверждающим внесение</w:t>
      </w:r>
      <w:r>
        <w:rPr>
          <w:rFonts w:hint="default"/>
          <w:lang w:val="ru-RU"/>
        </w:rPr>
        <w:t xml:space="preserve"> </w:t>
      </w:r>
      <w:r>
        <w:t>Претендентом Задатка в соответствии с Договором, является банковская выписка по расчетному</w:t>
      </w:r>
      <w:r>
        <w:rPr>
          <w:rFonts w:hint="default"/>
          <w:lang w:val="ru-RU"/>
        </w:rPr>
        <w:t xml:space="preserve"> </w:t>
      </w:r>
      <w:r>
        <w:t>счету, указанному в п. 1.1 Договора.</w:t>
      </w:r>
    </w:p>
    <w:p w14:paraId="62D59169">
      <w:pPr>
        <w:ind w:firstLine="709"/>
        <w:jc w:val="both"/>
      </w:pPr>
      <w:r>
        <w:t>4. С момента зачисления Задатка на расчетный счет, указанный в п. 1.1 Договора, Претендент</w:t>
      </w:r>
      <w:r>
        <w:rPr>
          <w:rFonts w:hint="default"/>
          <w:lang w:val="ru-RU"/>
        </w:rPr>
        <w:t xml:space="preserve"> </w:t>
      </w:r>
      <w:r>
        <w:t>не вправе требовать от Организатора Торгов и Оператора электронной площадки возврата Задатка</w:t>
      </w:r>
      <w:r>
        <w:rPr>
          <w:rFonts w:hint="default"/>
          <w:lang w:val="ru-RU"/>
        </w:rPr>
        <w:t xml:space="preserve"> </w:t>
      </w:r>
      <w:r>
        <w:t>или его перечисления на иной счет, кроме как в указанных ниже случаях.</w:t>
      </w:r>
    </w:p>
    <w:p w14:paraId="00FDB597">
      <w:pPr>
        <w:ind w:firstLine="709"/>
        <w:jc w:val="both"/>
      </w:pPr>
      <w:r>
        <w:t>5. На денежные средства, перечисленные в соответствии с Договором, проценты не</w:t>
      </w:r>
      <w:r>
        <w:br w:type="textWrapping"/>
      </w:r>
      <w:r>
        <w:t>начисляются.</w:t>
      </w:r>
    </w:p>
    <w:p w14:paraId="55273EBD">
      <w:pPr>
        <w:ind w:firstLine="709"/>
        <w:jc w:val="both"/>
      </w:pPr>
      <w:r>
        <w:t>6. Исполнение обязанности по внесению Задатка третьими лицами не допускается.</w:t>
      </w:r>
    </w:p>
    <w:p w14:paraId="55A6E432">
      <w:pPr>
        <w:ind w:firstLine="709"/>
        <w:jc w:val="both"/>
      </w:pPr>
      <w:r>
        <w:t>7. Сроки возврата Задатка, внесенного Претендентом:</w:t>
      </w:r>
    </w:p>
    <w:p w14:paraId="5CA45368">
      <w:pPr>
        <w:ind w:firstLine="709"/>
        <w:jc w:val="both"/>
      </w:pPr>
      <w:r>
        <w:t>7.1. В случае если Претендент не будет допущен к участию в Торгах, Оператор электронной</w:t>
      </w:r>
      <w:r>
        <w:rPr>
          <w:rFonts w:hint="default"/>
          <w:lang w:val="ru-RU"/>
        </w:rPr>
        <w:t xml:space="preserve"> </w:t>
      </w:r>
      <w:r>
        <w:t>площадки обязуется возвратить сумму Задатка в течение 5 (пяти) рабочих дней с даты подписания</w:t>
      </w:r>
      <w:r>
        <w:rPr>
          <w:rFonts w:hint="default"/>
          <w:lang w:val="ru-RU"/>
        </w:rPr>
        <w:t xml:space="preserve"> </w:t>
      </w:r>
      <w:r>
        <w:t>Организатором Торгов протокола об определении участников Торгов.</w:t>
      </w:r>
    </w:p>
    <w:p w14:paraId="60129628">
      <w:pPr>
        <w:ind w:firstLine="709"/>
        <w:jc w:val="both"/>
      </w:pPr>
      <w:r>
        <w:t>7.2. В случае если Претендент участвовал в Торгах и не признан победителем Торгов, Оператор</w:t>
      </w:r>
      <w:r>
        <w:rPr>
          <w:rFonts w:hint="default"/>
          <w:lang w:val="ru-RU"/>
        </w:rPr>
        <w:t xml:space="preserve"> </w:t>
      </w:r>
      <w:r>
        <w:t>электронной площадки обязуется возвратить сумму Задатка в течение 5 (пяти) рабочих дней со дня</w:t>
      </w:r>
      <w:r>
        <w:rPr>
          <w:rFonts w:hint="default"/>
          <w:lang w:val="ru-RU"/>
        </w:rPr>
        <w:t xml:space="preserve"> </w:t>
      </w:r>
      <w:r>
        <w:t>подписания Организатором Торгов протокола о результатах проведения Торгов.</w:t>
      </w:r>
    </w:p>
    <w:p w14:paraId="38A46531">
      <w:pPr>
        <w:ind w:firstLine="709"/>
        <w:jc w:val="both"/>
      </w:pPr>
      <w:r>
        <w:t>7.3. В случае признания Торгов несостоявшимися Оператор электронной площадки обязуется</w:t>
      </w:r>
      <w:r>
        <w:rPr>
          <w:rFonts w:hint="default"/>
          <w:lang w:val="ru-RU"/>
        </w:rPr>
        <w:t xml:space="preserve"> </w:t>
      </w:r>
      <w:r>
        <w:t>возвратить сумму Задатка в течение 5 (пяти) рабочих дней со дня подписания протокола о признании</w:t>
      </w:r>
      <w:r>
        <w:rPr>
          <w:rFonts w:hint="default"/>
          <w:lang w:val="ru-RU"/>
        </w:rPr>
        <w:t xml:space="preserve"> </w:t>
      </w:r>
      <w:r>
        <w:t>Торгов несостоявшимися.</w:t>
      </w:r>
    </w:p>
    <w:p w14:paraId="48BF7519">
      <w:pPr>
        <w:ind w:firstLine="709"/>
        <w:jc w:val="both"/>
      </w:pPr>
      <w:r>
        <w:t>7.4. В случае отмены Торгов Оператор электронной площадки обязуется возвратить сумму</w:t>
      </w:r>
      <w:r>
        <w:rPr>
          <w:rFonts w:hint="default"/>
          <w:lang w:val="ru-RU"/>
        </w:rPr>
        <w:t xml:space="preserve"> </w:t>
      </w:r>
      <w:r>
        <w:t>Задатка в течение 5 (пяти) рабочих дней со дня принятия Организатором Торгов решения об отмене</w:t>
      </w:r>
      <w:r>
        <w:rPr>
          <w:rFonts w:hint="default"/>
          <w:lang w:val="ru-RU"/>
        </w:rPr>
        <w:t xml:space="preserve"> </w:t>
      </w:r>
      <w:r>
        <w:t>Торгов.</w:t>
      </w:r>
    </w:p>
    <w:p w14:paraId="6A5B7856">
      <w:pPr>
        <w:ind w:firstLine="709"/>
        <w:jc w:val="both"/>
      </w:pPr>
      <w:r>
        <w:t>7.5. Внесенный Задаток не возвращается в случае, если Претендент, признанный победителем</w:t>
      </w:r>
      <w:r>
        <w:rPr>
          <w:rFonts w:hint="default"/>
          <w:lang w:val="ru-RU"/>
        </w:rPr>
        <w:t xml:space="preserve"> </w:t>
      </w:r>
      <w:r>
        <w:t>Торгов, уклонится или откажется от подписания протокола о результатах проведения Торгов,</w:t>
      </w:r>
      <w:r>
        <w:rPr>
          <w:rFonts w:hint="default"/>
          <w:lang w:val="ru-RU"/>
        </w:rPr>
        <w:t xml:space="preserve"> </w:t>
      </w:r>
      <w:r>
        <w:t>заключения или исполнения договора купли-продажи предмета Торгов в срок и порядке, которые</w:t>
      </w:r>
      <w:r>
        <w:rPr>
          <w:rFonts w:hint="default"/>
          <w:lang w:val="ru-RU"/>
        </w:rPr>
        <w:t xml:space="preserve"> </w:t>
      </w:r>
      <w:r>
        <w:t>предусмотрены Федеральным законом от 26.10.2002 г. № 127-ФЗ «О несостоятельности</w:t>
      </w:r>
      <w:r>
        <w:rPr>
          <w:rFonts w:hint="default"/>
          <w:lang w:val="ru-RU"/>
        </w:rPr>
        <w:t xml:space="preserve"> </w:t>
      </w:r>
      <w:r>
        <w:t>(банкротстве)».</w:t>
      </w:r>
    </w:p>
    <w:p w14:paraId="381D2EF9">
      <w:pPr>
        <w:ind w:firstLine="709"/>
        <w:jc w:val="both"/>
      </w:pPr>
      <w:r>
        <w:t>7.6. В случае признания Претендента победителем Торгов сумма внесенного Задатка</w:t>
      </w:r>
      <w:r>
        <w:br w:type="textWrapping"/>
      </w:r>
      <w:r>
        <w:t>засчитывается в счет оплаты по договору купли-продажи предмета Торгов и подлежит перечислению</w:t>
      </w:r>
      <w:r>
        <w:rPr>
          <w:rFonts w:hint="default"/>
          <w:lang w:val="ru-RU"/>
        </w:rPr>
        <w:t xml:space="preserve"> </w:t>
      </w:r>
      <w:r>
        <w:t>Оператором электронной площадки в течение 5 дней с момента подписания протокола о результатах</w:t>
      </w:r>
      <w:r>
        <w:rPr>
          <w:rFonts w:hint="default"/>
          <w:lang w:val="ru-RU"/>
        </w:rPr>
        <w:t xml:space="preserve"> </w:t>
      </w:r>
      <w:r>
        <w:t>Торгов в адрес Должника в соответствии с утвержденными условиями проведения торгов.</w:t>
      </w:r>
    </w:p>
    <w:p w14:paraId="2C5C38E7">
      <w:pPr>
        <w:ind w:firstLine="709"/>
        <w:jc w:val="both"/>
      </w:pPr>
      <w:r>
        <w:t>8. В случаях, предусмотренных Договором, Оператор электронной площадки возвращает</w:t>
      </w:r>
      <w:r>
        <w:rPr>
          <w:rFonts w:hint="default"/>
          <w:lang w:val="ru-RU"/>
        </w:rPr>
        <w:t xml:space="preserve"> </w:t>
      </w:r>
      <w:r>
        <w:t>Претенденту Задаток путем перечисления его суммы на расчетный счет Претендента, указанный в п.</w:t>
      </w:r>
      <w:r>
        <w:rPr>
          <w:rFonts w:hint="default"/>
          <w:lang w:val="ru-RU"/>
        </w:rPr>
        <w:t xml:space="preserve"> </w:t>
      </w:r>
      <w:r>
        <w:t>12 Договора.</w:t>
      </w:r>
    </w:p>
    <w:p w14:paraId="22873779">
      <w:pPr>
        <w:ind w:firstLine="709"/>
        <w:jc w:val="both"/>
      </w:pPr>
      <w:r>
        <w:t>9. Все возможные споры и разногласия, связанные с исполнением Договора, будут разрешаться</w:t>
      </w:r>
      <w:r>
        <w:rPr>
          <w:rFonts w:hint="default"/>
          <w:lang w:val="ru-RU"/>
        </w:rPr>
        <w:t xml:space="preserve"> </w:t>
      </w:r>
      <w:r>
        <w:t>Сторонами путем переговоров. В случае невозможности разрешения споров и разногласий путем</w:t>
      </w:r>
      <w:r>
        <w:rPr>
          <w:rFonts w:hint="default"/>
          <w:lang w:val="ru-RU"/>
        </w:rPr>
        <w:t xml:space="preserve"> </w:t>
      </w:r>
      <w:r>
        <w:t>переговоров они подлежат рассмотрению в арбитражном суде или в суде общей юрисдикции в</w:t>
      </w:r>
      <w:r>
        <w:rPr>
          <w:rFonts w:hint="default"/>
          <w:lang w:val="ru-RU"/>
        </w:rPr>
        <w:t xml:space="preserve"> </w:t>
      </w:r>
      <w:r>
        <w:t>соответствии с их компетенцией по месту нахождения Оператора электронной площадки.</w:t>
      </w:r>
    </w:p>
    <w:p w14:paraId="50E045DB">
      <w:pPr>
        <w:ind w:firstLine="709"/>
        <w:jc w:val="both"/>
      </w:pPr>
      <w:r>
        <w:t>10. Договор составлен в трёх экземплярах, по одному для каждой из Сторон.</w:t>
      </w:r>
    </w:p>
    <w:p w14:paraId="45AB5404">
      <w:pPr>
        <w:ind w:firstLine="709"/>
        <w:jc w:val="both"/>
      </w:pPr>
      <w:r>
        <w:t>11. Договор вступает в силу с момента его подписания Претендентом.</w:t>
      </w:r>
    </w:p>
    <w:p w14:paraId="30D2DA4E">
      <w:pPr>
        <w:ind w:firstLine="709"/>
        <w:jc w:val="both"/>
      </w:pPr>
      <w:r>
        <w:t>12. Адреса, реквизиты и подписи Сторон:</w:t>
      </w:r>
    </w:p>
    <w:tbl>
      <w:tblPr>
        <w:tblStyle w:val="3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4"/>
        <w:gridCol w:w="2100"/>
        <w:gridCol w:w="3656"/>
      </w:tblGrid>
      <w:tr w14:paraId="32E62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4" w:type="dxa"/>
          </w:tcPr>
          <w:p w14:paraId="2B036965">
            <w:pPr>
              <w:spacing w:before="0" w:after="0" w:line="240" w:lineRule="auto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ОРГАНИЗАТОР ТОРГОВ</w:t>
            </w:r>
          </w:p>
        </w:tc>
        <w:tc>
          <w:tcPr>
            <w:tcW w:w="2100" w:type="dxa"/>
          </w:tcPr>
          <w:p w14:paraId="6142DEFC">
            <w:pPr>
              <w:spacing w:before="0" w:after="0" w:line="240" w:lineRule="auto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ПРЕТЕНДЕНТ</w:t>
            </w:r>
          </w:p>
        </w:tc>
        <w:tc>
          <w:tcPr>
            <w:tcW w:w="3656" w:type="dxa"/>
          </w:tcPr>
          <w:p w14:paraId="5A7BE925">
            <w:pPr>
              <w:spacing w:before="0" w:after="0" w:line="240" w:lineRule="auto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ОПЕРАТОР ЭЛЕКТРОННОЙ</w:t>
            </w:r>
            <w:r>
              <w:rPr>
                <w:b/>
                <w:bCs/>
              </w:rPr>
              <w:br w:type="textWrapping"/>
            </w:r>
            <w:r>
              <w:rPr>
                <w:b/>
                <w:bCs/>
              </w:rPr>
              <w:t>ПЛОЩАДКИ</w:t>
            </w:r>
          </w:p>
        </w:tc>
      </w:tr>
      <w:tr w14:paraId="3057B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4" w:type="dxa"/>
          </w:tcPr>
          <w:p w14:paraId="0815452A">
            <w:pPr>
              <w:spacing w:before="0" w:after="0" w:line="240" w:lineRule="auto"/>
              <w:ind w:firstLine="0"/>
            </w:pPr>
            <w:r>
              <w:rPr>
                <w:b/>
                <w:bCs/>
              </w:rPr>
              <w:t>Конкурсный управляющий</w:t>
            </w:r>
            <w:r>
              <w:rPr>
                <w:b/>
                <w:bCs/>
              </w:rPr>
              <w:br w:type="textWrapping"/>
            </w:r>
            <w:r>
              <w:rPr>
                <w:b/>
                <w:bCs/>
              </w:rPr>
              <w:t>ООО «САНТОРИЯ»</w:t>
            </w:r>
            <w:r>
              <w:rPr>
                <w:b/>
                <w:bCs/>
              </w:rPr>
              <w:br w:type="textWrapping"/>
            </w:r>
            <w:r>
              <w:rPr>
                <w:b/>
                <w:bCs/>
              </w:rPr>
              <w:t>Федоткин Антон Андреевич</w:t>
            </w:r>
            <w:r>
              <w:br w:type="textWrapping"/>
            </w:r>
            <w:r>
              <w:t>(ИНН 519090286887,</w:t>
            </w:r>
            <w:r>
              <w:br w:type="textWrapping"/>
            </w:r>
            <w:r>
              <w:t>СНИЛС 094-347-553 93,</w:t>
            </w:r>
            <w:r>
              <w:br w:type="textWrapping"/>
            </w:r>
            <w:r>
              <w:t>почтовый адрес: 191119, г. Санкт-Петербург, а/я 100,</w:t>
            </w:r>
            <w:r>
              <w:br w:type="textWrapping"/>
            </w:r>
            <w:r>
              <w:t>электронная почта:</w:t>
            </w:r>
            <w:r>
              <w:br w:type="textWrapping"/>
            </w:r>
            <w:r>
              <w:t>fedotkinanton@gmail.com, тел.______________), член Ассоциации</w:t>
            </w:r>
            <w:r>
              <w:br w:type="textWrapping"/>
            </w:r>
            <w:r>
              <w:t>СРО «МЦПУ» (ИНН 7743069037)</w:t>
            </w:r>
            <w:r>
              <w:br w:type="textWrapping"/>
            </w:r>
            <w:r>
              <w:br w:type="textWrapping"/>
            </w:r>
            <w:r>
              <w:t>Банковские реквизиты:</w:t>
            </w:r>
            <w:r>
              <w:br w:type="textWrapping"/>
            </w:r>
            <w:r>
              <w:t>получатель: ООО «САНТОРИЯ» (ИНН 5048041332),</w:t>
            </w:r>
            <w:r>
              <w:br w:type="textWrapping"/>
            </w:r>
            <w:r>
              <w:t>р/с 40702 810 3 4000 0023333, к/с</w:t>
            </w:r>
            <w:r>
              <w:br w:type="textWrapping"/>
            </w:r>
            <w:r>
              <w:t>30101 810 4 0000 0000225, банк</w:t>
            </w:r>
            <w:r>
              <w:br w:type="textWrapping"/>
            </w:r>
            <w:r>
              <w:t>получателя: ПАО Сбербанк, БИК</w:t>
            </w:r>
            <w:r>
              <w:br w:type="textWrapping"/>
            </w:r>
            <w:r>
              <w:t>044525225</w:t>
            </w:r>
          </w:p>
          <w:p w14:paraId="510C4996">
            <w:pPr>
              <w:spacing w:before="0" w:after="0" w:line="240" w:lineRule="auto"/>
              <w:ind w:firstLine="0"/>
            </w:pPr>
          </w:p>
          <w:p w14:paraId="0DBA0B93">
            <w:pPr>
              <w:spacing w:before="0" w:after="0" w:line="240" w:lineRule="auto"/>
              <w:ind w:firstLine="0"/>
            </w:pPr>
          </w:p>
          <w:p w14:paraId="458D05D6">
            <w:pPr>
              <w:spacing w:before="0" w:after="0" w:line="240" w:lineRule="auto"/>
              <w:ind w:firstLine="0"/>
            </w:pPr>
            <w:r>
              <w:br w:type="textWrapping"/>
            </w:r>
            <w:r>
              <w:br w:type="textWrapping"/>
            </w:r>
            <w:r>
              <w:t>____________ /Федоткин А.А. /</w:t>
            </w:r>
          </w:p>
        </w:tc>
        <w:tc>
          <w:tcPr>
            <w:tcW w:w="2100" w:type="dxa"/>
          </w:tcPr>
          <w:p w14:paraId="66BBED78">
            <w:pPr>
              <w:spacing w:before="0" w:after="0" w:line="240" w:lineRule="auto"/>
              <w:ind w:firstLine="0"/>
            </w:pPr>
          </w:p>
        </w:tc>
        <w:tc>
          <w:tcPr>
            <w:tcW w:w="3656" w:type="dxa"/>
          </w:tcPr>
          <w:p w14:paraId="051221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b/>
                <w:bCs/>
                <w:sz w:val="24"/>
                <w:szCs w:val="24"/>
              </w:rPr>
              <w:t>ООО «Балтийская электронная площадка»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t>Юридический адрес: 197022, г. Санкт-Петербург, ул. Профессора Попова, д. 23, литер В, помещение 51Н,5Н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t>Адрес для корреспонденции: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t>197376, г. Санкт-Петербург, ул. Профессора Попова, д. 23, литер В, офис 26 (БЦ «Гайот»)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t>ИНН: 7810596232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t>КПП: 781301001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t>Банковские реквизиты: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t>р/с 40702810212010610457 в Филиале «Корпоративный» ПАО «Совкомбанк»,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t>к/с 30101810445250000360,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t>БИК 044525360.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t>Генеральный директор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t>____________ /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Гавриков М.Ю</w:t>
            </w:r>
            <w:r>
              <w:rPr>
                <w:sz w:val="24"/>
                <w:szCs w:val="24"/>
              </w:rPr>
              <w:t>/</w:t>
            </w:r>
          </w:p>
        </w:tc>
      </w:tr>
    </w:tbl>
    <w:p w14:paraId="0B2FAC98"/>
    <w:sectPr>
      <w:pgSz w:w="12240" w:h="15840"/>
      <w:pgMar w:top="1134" w:right="1134" w:bottom="1134" w:left="1417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19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29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5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4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28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2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19BB24E6"/>
    <w:rsid w:val="5439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0" w:after="0" w:line="240" w:lineRule="auto"/>
      <w:ind w:firstLine="709"/>
    </w:pPr>
    <w:rPr>
      <w:rFonts w:ascii="Times New Roman" w:hAnsi="Times New Roman" w:eastAsia="Times New Roman" w:cstheme="minorBidi"/>
      <w:sz w:val="24"/>
      <w:szCs w:val="22"/>
      <w:lang w:val="en-US" w:eastAsia="en-US" w:bidi="ar-SA"/>
    </w:rPr>
  </w:style>
  <w:style w:type="paragraph" w:styleId="2">
    <w:name w:val="heading 1"/>
    <w:basedOn w:val="1"/>
    <w:next w:val="1"/>
    <w:link w:val="41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42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43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53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54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55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56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57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58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mphasis"/>
    <w:basedOn w:val="11"/>
    <w:qFormat/>
    <w:uiPriority w:val="20"/>
    <w:rPr>
      <w:i/>
      <w:iCs/>
    </w:rPr>
  </w:style>
  <w:style w:type="character" w:styleId="14">
    <w:name w:val="Hyperlink"/>
    <w:basedOn w:val="11"/>
    <w:semiHidden/>
    <w:unhideWhenUsed/>
    <w:uiPriority w:val="99"/>
    <w:rPr>
      <w:color w:val="0000FF"/>
      <w:u w:val="single"/>
    </w:rPr>
  </w:style>
  <w:style w:type="character" w:styleId="15">
    <w:name w:val="Strong"/>
    <w:basedOn w:val="11"/>
    <w:qFormat/>
    <w:uiPriority w:val="22"/>
    <w:rPr>
      <w:b/>
      <w:bCs/>
    </w:rPr>
  </w:style>
  <w:style w:type="paragraph" w:styleId="16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17">
    <w:name w:val="Body Text 2"/>
    <w:basedOn w:val="1"/>
    <w:link w:val="48"/>
    <w:unhideWhenUsed/>
    <w:qFormat/>
    <w:uiPriority w:val="99"/>
    <w:pPr>
      <w:spacing w:after="120" w:line="480" w:lineRule="auto"/>
    </w:pPr>
  </w:style>
  <w:style w:type="paragraph" w:styleId="18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9">
    <w:name w:val="List Number 3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20">
    <w:name w:val="header"/>
    <w:basedOn w:val="1"/>
    <w:link w:val="38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1">
    <w:name w:val="Body Text"/>
    <w:basedOn w:val="1"/>
    <w:link w:val="47"/>
    <w:unhideWhenUsed/>
    <w:qFormat/>
    <w:uiPriority w:val="99"/>
    <w:pPr>
      <w:spacing w:after="120"/>
    </w:pPr>
  </w:style>
  <w:style w:type="paragraph" w:styleId="22">
    <w:name w:val="macro"/>
    <w:link w:val="50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23">
    <w:name w:val="List Bullet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24">
    <w:name w:val="List Bullet 2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25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26">
    <w:name w:val="Title"/>
    <w:basedOn w:val="1"/>
    <w:next w:val="1"/>
    <w:link w:val="44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paragraph" w:styleId="27">
    <w:name w:val="footer"/>
    <w:basedOn w:val="1"/>
    <w:link w:val="39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8">
    <w:name w:val="List Number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9">
    <w:name w:val="List Number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30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31">
    <w:name w:val="Body Text 3"/>
    <w:basedOn w:val="1"/>
    <w:link w:val="49"/>
    <w:unhideWhenUsed/>
    <w:qFormat/>
    <w:uiPriority w:val="99"/>
    <w:pPr>
      <w:spacing w:after="120"/>
    </w:pPr>
    <w:rPr>
      <w:sz w:val="16"/>
      <w:szCs w:val="16"/>
    </w:rPr>
  </w:style>
  <w:style w:type="paragraph" w:styleId="32">
    <w:name w:val="Subtitle"/>
    <w:basedOn w:val="1"/>
    <w:next w:val="1"/>
    <w:link w:val="45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33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4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5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36">
    <w:name w:val="List 3"/>
    <w:basedOn w:val="1"/>
    <w:unhideWhenUsed/>
    <w:qFormat/>
    <w:uiPriority w:val="99"/>
    <w:pPr>
      <w:ind w:left="1080" w:hanging="360"/>
      <w:contextualSpacing/>
    </w:pPr>
  </w:style>
  <w:style w:type="table" w:styleId="37">
    <w:name w:val="Table Grid"/>
    <w:basedOn w:val="1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8">
    <w:name w:val="Header Char"/>
    <w:basedOn w:val="11"/>
    <w:link w:val="20"/>
    <w:uiPriority w:val="99"/>
  </w:style>
  <w:style w:type="character" w:customStyle="1" w:styleId="39">
    <w:name w:val="Footer Char"/>
    <w:basedOn w:val="11"/>
    <w:link w:val="27"/>
    <w:uiPriority w:val="99"/>
  </w:style>
  <w:style w:type="paragraph" w:styleId="40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41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42">
    <w:name w:val="Heading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43">
    <w:name w:val="Heading 3 Char"/>
    <w:basedOn w:val="11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4">
    <w:name w:val="Title Char"/>
    <w:basedOn w:val="11"/>
    <w:link w:val="26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45">
    <w:name w:val="Subtitle Char"/>
    <w:basedOn w:val="11"/>
    <w:link w:val="3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46">
    <w:name w:val="List Paragraph"/>
    <w:basedOn w:val="1"/>
    <w:qFormat/>
    <w:uiPriority w:val="34"/>
    <w:pPr>
      <w:ind w:left="720"/>
      <w:contextualSpacing/>
    </w:pPr>
  </w:style>
  <w:style w:type="character" w:customStyle="1" w:styleId="47">
    <w:name w:val="Body Text Char"/>
    <w:basedOn w:val="11"/>
    <w:link w:val="21"/>
    <w:qFormat/>
    <w:uiPriority w:val="99"/>
  </w:style>
  <w:style w:type="character" w:customStyle="1" w:styleId="48">
    <w:name w:val="Body Text 2 Char"/>
    <w:basedOn w:val="11"/>
    <w:link w:val="17"/>
    <w:qFormat/>
    <w:uiPriority w:val="99"/>
  </w:style>
  <w:style w:type="character" w:customStyle="1" w:styleId="49">
    <w:name w:val="Body Text 3 Char"/>
    <w:basedOn w:val="11"/>
    <w:link w:val="31"/>
    <w:qFormat/>
    <w:uiPriority w:val="99"/>
    <w:rPr>
      <w:sz w:val="16"/>
      <w:szCs w:val="16"/>
    </w:rPr>
  </w:style>
  <w:style w:type="character" w:customStyle="1" w:styleId="50">
    <w:name w:val="Macro Text Char"/>
    <w:basedOn w:val="11"/>
    <w:link w:val="22"/>
    <w:qFormat/>
    <w:uiPriority w:val="99"/>
    <w:rPr>
      <w:rFonts w:ascii="Courier" w:hAnsi="Courier"/>
      <w:sz w:val="20"/>
      <w:szCs w:val="20"/>
    </w:rPr>
  </w:style>
  <w:style w:type="paragraph" w:styleId="51">
    <w:name w:val="Quote"/>
    <w:basedOn w:val="1"/>
    <w:next w:val="1"/>
    <w:link w:val="52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2">
    <w:name w:val="Quote Char"/>
    <w:basedOn w:val="11"/>
    <w:link w:val="51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3">
    <w:name w:val="Heading 4 Char"/>
    <w:basedOn w:val="11"/>
    <w:link w:val="5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54">
    <w:name w:val="Heading 5 Char"/>
    <w:basedOn w:val="11"/>
    <w:link w:val="6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55">
    <w:name w:val="Heading 6 Char"/>
    <w:basedOn w:val="11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56">
    <w:name w:val="Heading 7 Char"/>
    <w:basedOn w:val="11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7">
    <w:name w:val="Heading 8 Char"/>
    <w:basedOn w:val="11"/>
    <w:link w:val="9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58">
    <w:name w:val="Heading 9 Char"/>
    <w:basedOn w:val="11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59">
    <w:name w:val="Intense Quote"/>
    <w:basedOn w:val="1"/>
    <w:next w:val="1"/>
    <w:link w:val="60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60">
    <w:name w:val="Intense Quote Char"/>
    <w:basedOn w:val="11"/>
    <w:link w:val="59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61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62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63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64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65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66">
    <w:name w:val="TOC Heading"/>
    <w:basedOn w:val="2"/>
    <w:next w:val="1"/>
    <w:semiHidden/>
    <w:unhideWhenUsed/>
    <w:qFormat/>
    <w:uiPriority w:val="39"/>
    <w:pPr>
      <w:outlineLvl w:val="9"/>
    </w:pPr>
  </w:style>
  <w:style w:type="table" w:styleId="67">
    <w:name w:val="Light Shading"/>
    <w:basedOn w:val="1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68">
    <w:name w:val="Light Shading Accent 1"/>
    <w:basedOn w:val="1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69">
    <w:name w:val="Light Shading Accent 2"/>
    <w:basedOn w:val="1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70">
    <w:name w:val="Light Shading Accent 3"/>
    <w:basedOn w:val="1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71">
    <w:name w:val="Light Shading Accent 4"/>
    <w:basedOn w:val="1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72">
    <w:name w:val="Light Shading Accent 5"/>
    <w:basedOn w:val="1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73">
    <w:name w:val="Light Shading Accent 6"/>
    <w:basedOn w:val="1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74">
    <w:name w:val="Light List"/>
    <w:basedOn w:val="1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75">
    <w:name w:val="Light List Accent 1"/>
    <w:basedOn w:val="1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76">
    <w:name w:val="Light List Accent 2"/>
    <w:basedOn w:val="1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77">
    <w:name w:val="Light List Accent 3"/>
    <w:basedOn w:val="1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78">
    <w:name w:val="Light List Accent 4"/>
    <w:basedOn w:val="1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79">
    <w:name w:val="Light List Accent 5"/>
    <w:basedOn w:val="1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80">
    <w:name w:val="Light List Accent 6"/>
    <w:basedOn w:val="1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81">
    <w:name w:val="Light Grid"/>
    <w:basedOn w:val="1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82">
    <w:name w:val="Light Grid Accent 1"/>
    <w:basedOn w:val="1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83">
    <w:name w:val="Light Grid Accent 2"/>
    <w:basedOn w:val="1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84">
    <w:name w:val="Light Grid Accent 3"/>
    <w:basedOn w:val="1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85">
    <w:name w:val="Light Grid Accent 4"/>
    <w:basedOn w:val="1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86">
    <w:name w:val="Light Grid Accent 5"/>
    <w:basedOn w:val="1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87">
    <w:name w:val="Light Grid Accent 6"/>
    <w:basedOn w:val="1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88">
    <w:name w:val="Medium Shading 1"/>
    <w:basedOn w:val="1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FBFBF" w:themeFill="text1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89">
    <w:name w:val="Medium Shading 1 Accent 1"/>
    <w:basedOn w:val="1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0">
    <w:name w:val="Medium Shading 1 Accent 2"/>
    <w:basedOn w:val="1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3" w:themeFill="accent2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1">
    <w:name w:val="Medium Shading 1 Accent 3"/>
    <w:basedOn w:val="1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 w:themeFill="accent3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2">
    <w:name w:val="Medium Shading 1 Accent 4"/>
    <w:basedOn w:val="1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 w:themeFill="accent4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3">
    <w:name w:val="Medium Shading 1 Accent 5"/>
    <w:basedOn w:val="1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0" w:themeFill="accent5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4">
    <w:name w:val="Medium Shading 1 Accent 6"/>
    <w:basedOn w:val="1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5D1" w:themeFill="accent6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5">
    <w:name w:val="Medium Shading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6">
    <w:name w:val="Medium Shading 2 Accent 1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7">
    <w:name w:val="Medium Shading 2 Accent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8">
    <w:name w:val="Medium Shading 2 Accent 3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9">
    <w:name w:val="Medium Shading 2 Accent 4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00">
    <w:name w:val="Medium Shading 2 Accent 5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01">
    <w:name w:val="Medium Shading 2 Accent 6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02">
    <w:name w:val="Medium Lis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cPr>
        <w:shd w:val="clear" w:color="auto" w:fill="BFBFBF" w:themeFill="text1" w:themeFillTint="3F"/>
      </w:tcPr>
    </w:tblStylePr>
    <w:tblStylePr w:type="band1Horz">
      <w:tcPr>
        <w:shd w:val="clear" w:color="auto" w:fill="BFBFBF" w:themeFill="text1" w:themeFillTint="3F"/>
      </w:tcPr>
    </w:tblStylePr>
  </w:style>
  <w:style w:type="table" w:styleId="103">
    <w:name w:val="Medium List 1 Accen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shd w:val="clear" w:color="auto" w:fill="D3DFEE" w:themeFill="accent1" w:themeFillTint="3F"/>
      </w:tcPr>
    </w:tblStylePr>
  </w:style>
  <w:style w:type="table" w:styleId="104">
    <w:name w:val="Medium List 1 Accent 2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cPr>
        <w:shd w:val="clear" w:color="auto" w:fill="EFD3D3" w:themeFill="accent2" w:themeFillTint="3F"/>
      </w:tcPr>
    </w:tblStylePr>
    <w:tblStylePr w:type="band1Horz">
      <w:tcPr>
        <w:shd w:val="clear" w:color="auto" w:fill="EFD3D3" w:themeFill="accent2" w:themeFillTint="3F"/>
      </w:tcPr>
    </w:tblStylePr>
  </w:style>
  <w:style w:type="table" w:styleId="105">
    <w:name w:val="Medium List 1 Accent 3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cPr>
        <w:shd w:val="clear" w:color="auto" w:fill="E6EED5" w:themeFill="accent3" w:themeFillTint="3F"/>
      </w:tcPr>
    </w:tblStylePr>
    <w:tblStylePr w:type="band1Horz">
      <w:tcPr>
        <w:shd w:val="clear" w:color="auto" w:fill="E6EED5" w:themeFill="accent3" w:themeFillTint="3F"/>
      </w:tcPr>
    </w:tblStylePr>
  </w:style>
  <w:style w:type="table" w:styleId="106">
    <w:name w:val="Medium List 1 Accent 4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cPr>
        <w:shd w:val="clear" w:color="auto" w:fill="DFD8E8" w:themeFill="accent4" w:themeFillTint="3F"/>
      </w:tcPr>
    </w:tblStylePr>
    <w:tblStylePr w:type="band1Horz">
      <w:tcPr>
        <w:shd w:val="clear" w:color="auto" w:fill="DFD8E8" w:themeFill="accent4" w:themeFillTint="3F"/>
      </w:tcPr>
    </w:tblStylePr>
  </w:style>
  <w:style w:type="table" w:styleId="107">
    <w:name w:val="Medium List 1 Accent 5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cPr>
        <w:shd w:val="clear" w:color="auto" w:fill="D2EAF0" w:themeFill="accent5" w:themeFillTint="3F"/>
      </w:tcPr>
    </w:tblStylePr>
    <w:tblStylePr w:type="band1Horz">
      <w:tcPr>
        <w:shd w:val="clear" w:color="auto" w:fill="D2EAF0" w:themeFill="accent5" w:themeFillTint="3F"/>
      </w:tcPr>
    </w:tblStylePr>
  </w:style>
  <w:style w:type="table" w:styleId="108">
    <w:name w:val="Medium List 1 Accent 6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cPr>
        <w:shd w:val="clear" w:color="auto" w:fill="FDE5D1" w:themeFill="accent6" w:themeFillTint="3F"/>
      </w:tcPr>
    </w:tblStylePr>
    <w:tblStylePr w:type="band1Horz">
      <w:tcPr>
        <w:shd w:val="clear" w:color="auto" w:fill="FDE5D1" w:themeFill="accent6" w:themeFillTint="3F"/>
      </w:tcPr>
    </w:tblStylePr>
  </w:style>
  <w:style w:type="table" w:styleId="109">
    <w:name w:val="Medium Lis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0">
    <w:name w:val="Medium List 2 Accent 1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1">
    <w:name w:val="Medium List 2 Accen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2">
    <w:name w:val="Medium List 2 Accent 3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3">
    <w:name w:val="Medium List 2 Accent 4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4">
    <w:name w:val="Medium List 2 Accent 5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5">
    <w:name w:val="Medium List 2 Accent 6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6">
    <w:name w:val="Medium Grid 1"/>
    <w:basedOn w:val="1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  <w:style w:type="table" w:styleId="117">
    <w:name w:val="Medium Grid 1 Accent 1"/>
    <w:basedOn w:val="1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shd w:val="clear" w:color="auto" w:fill="A7C0DE" w:themeFill="accent1" w:themeFillTint="7F"/>
      </w:tcPr>
    </w:tblStylePr>
  </w:style>
  <w:style w:type="table" w:styleId="118">
    <w:name w:val="Medium Grid 1 Accent 2"/>
    <w:basedOn w:val="1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shd w:val="clear" w:color="auto" w:fill="DFA7A6" w:themeFill="accent2" w:themeFillTint="7F"/>
      </w:tcPr>
    </w:tblStylePr>
  </w:style>
  <w:style w:type="table" w:styleId="119">
    <w:name w:val="Medium Grid 1 Accent 3"/>
    <w:basedOn w:val="1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20">
    <w:name w:val="Medium Grid 1 Accent 4"/>
    <w:basedOn w:val="1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shd w:val="clear" w:color="auto" w:fill="BFB1D0" w:themeFill="accent4" w:themeFillTint="7F"/>
      </w:tcPr>
    </w:tblStylePr>
  </w:style>
  <w:style w:type="table" w:styleId="121">
    <w:name w:val="Medium Grid 1 Accent 5"/>
    <w:basedOn w:val="1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shd w:val="clear" w:color="auto" w:fill="A5D5E2" w:themeFill="accent5" w:themeFillTint="7F"/>
      </w:tcPr>
    </w:tblStylePr>
  </w:style>
  <w:style w:type="table" w:styleId="122">
    <w:name w:val="Medium Grid 1 Accent 6"/>
    <w:basedOn w:val="1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shd w:val="clear" w:color="auto" w:fill="FBCAA2" w:themeFill="accent6" w:themeFillTint="7F"/>
      </w:tcPr>
    </w:tblStylePr>
  </w:style>
  <w:style w:type="table" w:styleId="123">
    <w:name w:val="Medium Grid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4">
    <w:name w:val="Medium Grid 2 Accent 1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5">
    <w:name w:val="Medium Grid 2 Accent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6">
    <w:name w:val="Medium Grid 2 Accent 3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7">
    <w:name w:val="Medium Grid 2 Accent 4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8">
    <w:name w:val="Medium Grid 2 Accent 5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9">
    <w:name w:val="Medium Grid 2 Accent 6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30">
    <w:name w:val="Medium Grid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31">
    <w:name w:val="Medium Grid 3 Accent 1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32">
    <w:name w:val="Medium Grid 3 Accent 2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33">
    <w:name w:val="Medium Grid 3 Accent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34">
    <w:name w:val="Medium Grid 3 Accent 4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35">
    <w:name w:val="Medium Grid 3 Accent 5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36">
    <w:name w:val="Medium Grid 3 Accent 6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37">
    <w:name w:val="Dark List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38">
    <w:name w:val="Dark List Accent 1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39">
    <w:name w:val="Dark List Accent 2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40">
    <w:name w:val="Dark List Accent 3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41">
    <w:name w:val="Dark List Accent 4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42">
    <w:name w:val="Dark List Accent 5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43">
    <w:name w:val="Dark List Accent 6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44">
    <w:name w:val="Colorful Shading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5">
    <w:name w:val="Colorful Shading Accent 1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6">
    <w:name w:val="Colorful Shading Accent 2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cPr>
        <w:shd w:val="clear" w:color="auto" w:fill="E5B8B7" w:themeFill="accent2" w:themeFillTint="66"/>
      </w:tcPr>
    </w:tblStylePr>
    <w:tblStylePr w:type="band1Horz"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7">
    <w:name w:val="Colorful Shading Accent 3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cPr>
        <w:shd w:val="clear" w:color="auto" w:fill="D6E3BC" w:themeFill="accent3" w:themeFillTint="66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48">
    <w:name w:val="Colorful Shading Accent 4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cPr>
        <w:shd w:val="clear" w:color="auto" w:fill="CCC0D9" w:themeFill="accent4" w:themeFillTint="66"/>
      </w:tcPr>
    </w:tblStylePr>
    <w:tblStylePr w:type="band1Horz"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9">
    <w:name w:val="Colorful Shading Accent 5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cPr>
        <w:shd w:val="clear" w:color="auto" w:fill="B6DDE8" w:themeFill="accent5" w:themeFillTint="66"/>
      </w:tcPr>
    </w:tblStylePr>
    <w:tblStylePr w:type="band1Horz"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50">
    <w:name w:val="Colorful Shading Accent 6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cPr>
        <w:shd w:val="clear" w:color="auto" w:fill="FBD4B4" w:themeFill="accent6" w:themeFillTint="66"/>
      </w:tcPr>
    </w:tblStylePr>
    <w:tblStylePr w:type="band1Horz"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51">
    <w:name w:val="Colorful List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shd w:val="clear" w:color="auto" w:fill="CCCCCC" w:themeFill="text1" w:themeFillTint="33"/>
      </w:tcPr>
    </w:tblStylePr>
  </w:style>
  <w:style w:type="table" w:styleId="152">
    <w:name w:val="Colorful List Accent 1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shd w:val="clear" w:color="auto" w:fill="DBE5F1" w:themeFill="accent1" w:themeFillTint="33"/>
      </w:tcPr>
    </w:tblStylePr>
  </w:style>
  <w:style w:type="table" w:styleId="153">
    <w:name w:val="Colorful List Accent 2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shd w:val="clear" w:color="auto" w:fill="F2DBDB" w:themeFill="accent2" w:themeFillTint="33"/>
      </w:tcPr>
    </w:tblStylePr>
  </w:style>
  <w:style w:type="table" w:styleId="154">
    <w:name w:val="Colorful List Accent 3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shd w:val="clear" w:color="auto" w:fill="EAF1DD" w:themeFill="accent3" w:themeFillTint="33"/>
      </w:tcPr>
    </w:tblStylePr>
  </w:style>
  <w:style w:type="table" w:styleId="155">
    <w:name w:val="Colorful List Accent 4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shd w:val="clear" w:color="auto" w:fill="E5DFEC" w:themeFill="accent4" w:themeFillTint="33"/>
      </w:tcPr>
    </w:tblStylePr>
  </w:style>
  <w:style w:type="table" w:styleId="156">
    <w:name w:val="Colorful List Accent 5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shd w:val="clear" w:color="auto" w:fill="DAEEF3" w:themeFill="accent5" w:themeFillTint="33"/>
      </w:tcPr>
    </w:tblStylePr>
  </w:style>
  <w:style w:type="table" w:styleId="157">
    <w:name w:val="Colorful List Accent 6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shd w:val="clear" w:color="auto" w:fill="FDE9D9" w:themeFill="accent6" w:themeFillTint="33"/>
      </w:tcPr>
    </w:tblStylePr>
  </w:style>
  <w:style w:type="table" w:styleId="158">
    <w:name w:val="Colorful Grid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 w:themeFillShade="BF"/>
      </w:tc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  <w:style w:type="table" w:styleId="159">
    <w:name w:val="Colorful Grid Accent 1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66091" w:themeFill="accent1" w:themeFillShade="BF"/>
      </w:tc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shd w:val="clear" w:color="auto" w:fill="A7C0DE" w:themeFill="accent1" w:themeFillTint="7F"/>
      </w:tcPr>
    </w:tblStylePr>
  </w:style>
  <w:style w:type="table" w:styleId="160">
    <w:name w:val="Colorful Grid Accent 2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43734" w:themeFill="accent2" w:themeFillShade="BF"/>
      </w:tc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shd w:val="clear" w:color="auto" w:fill="DFA7A6" w:themeFill="accent2" w:themeFillTint="7F"/>
      </w:tcPr>
    </w:tblStylePr>
  </w:style>
  <w:style w:type="table" w:styleId="161">
    <w:name w:val="Colorful Grid Accent 3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6923C" w:themeFill="accent3" w:themeFillShade="BF"/>
      </w:tc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62">
    <w:name w:val="Colorful Grid Accent 4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F497A" w:themeFill="accent4" w:themeFillShade="BF"/>
      </w:tc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shd w:val="clear" w:color="auto" w:fill="BFB1D0" w:themeFill="accent4" w:themeFillTint="7F"/>
      </w:tcPr>
    </w:tblStylePr>
  </w:style>
  <w:style w:type="table" w:styleId="163">
    <w:name w:val="Colorful Grid Accent 5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1849B" w:themeFill="accent5" w:themeFillShade="BF"/>
      </w:tc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shd w:val="clear" w:color="auto" w:fill="A5D5E2" w:themeFill="accent5" w:themeFillTint="7F"/>
      </w:tcPr>
    </w:tblStylePr>
  </w:style>
  <w:style w:type="table" w:styleId="164">
    <w:name w:val="Colorful Grid Accent 6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36C09" w:themeFill="accent6" w:themeFillShade="BF"/>
      </w:tc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shd w:val="clear" w:color="auto" w:fill="FBCAA2" w:themeFill="accent6" w:themeFillTint="7F"/>
      </w:tcPr>
    </w:tblStyle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Евгений Поздняк�</cp:lastModifiedBy>
  <dcterms:modified xsi:type="dcterms:W3CDTF">2026-01-23T11:22:49Z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A7AC0D26BB7D46DDAC4C172B6D1E3A93_12</vt:lpwstr>
  </property>
</Properties>
</file>