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9791210" w14:textId="77777777"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18"/>
          <w:szCs w:val="18"/>
        </w:rPr>
      </w:pPr>
      <w:r/>
      <w:bookmarkStart w:id="0" w:name="_Hlk503981710"/>
      <w:r/>
      <w:bookmarkStart w:id="1" w:name="_Hlk503981470"/>
      <w:r>
        <w:rPr>
          <w:rFonts w:ascii="Times New Roman" w:hAnsi="Times New Roman"/>
          <w:b/>
          <w:bCs/>
          <w:sz w:val="18"/>
          <w:szCs w:val="18"/>
        </w:rPr>
        <w:t xml:space="preserve">ДОГОВОР О ЗАДАТКЕ</w:t>
      </w:r>
      <w:r>
        <w:rPr>
          <w:rFonts w:ascii="Times New Roman" w:hAnsi="Times New Roman"/>
          <w:b/>
          <w:bCs/>
          <w:sz w:val="18"/>
          <w:szCs w:val="18"/>
        </w:rPr>
        <w:br/>
      </w:r>
      <w:r>
        <w:rPr>
          <w:rFonts w:ascii="Times New Roman" w:hAnsi="Times New Roman"/>
          <w:b/>
          <w:bCs/>
          <w:sz w:val="18"/>
          <w:szCs w:val="18"/>
        </w:rPr>
      </w:r>
    </w:p>
    <w:tbl>
      <w:tblPr>
        <w:tblStyle w:val="6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>
        <w:trPr/>
        <w:tc>
          <w:tcPr>
            <w:tcBorders/>
            <w:tcW w:w="5381" w:type="dxa"/>
            <w:textDirection w:val="lrTb"/>
            <w:noWrap w:val="false"/>
          </w:tcPr>
          <w:p w14:paraId="2CD52744" w14:textId="3EAC6C72">
            <w:pPr>
              <w:pBdr/>
              <w:spacing w:after="0" w:line="240" w:lineRule="auto"/>
              <w:ind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. Москва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Borders/>
            <w:tcW w:w="5382" w:type="dxa"/>
            <w:textDirection w:val="lrTb"/>
            <w:noWrap w:val="false"/>
          </w:tcPr>
          <w:p w14:paraId="08502211" w14:textId="797CC12F">
            <w:pPr>
              <w:pBdr/>
              <w:spacing w:after="0" w:line="240" w:lineRule="auto"/>
              <w:ind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«__» _______________ 202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6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г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</w:tr>
    </w:tbl>
    <w:p w14:paraId="64B6E765" w14:textId="77777777">
      <w:pPr>
        <w:pBdr/>
        <w:spacing w:after="0" w:line="240" w:lineRule="auto"/>
        <w:ind/>
        <w:jc w:val="center"/>
        <w:rPr>
          <w:rFonts w:ascii="Times New Roman" w:hAnsi="Times New Roman"/>
          <w:b/>
          <w:bCs/>
          <w:sz w:val="18"/>
          <w:szCs w:val="18"/>
        </w:rPr>
        <w:sectPr>
          <w:footnotePr/>
          <w:endnotePr/>
          <w:type w:val="nextPage"/>
          <w:pgSz w:h="16838" w:orient="portrait" w:w="11906"/>
          <w:pgMar w:top="426" w:right="424" w:bottom="1134" w:left="709" w:header="708" w:footer="708" w:gutter="0"/>
          <w:cols w:num="1" w:sep="0" w:space="708" w:equalWidth="1"/>
        </w:sectPr>
      </w:pPr>
      <w:r>
        <w:rPr>
          <w:rFonts w:ascii="Times New Roman" w:hAnsi="Times New Roman"/>
          <w:b/>
          <w:bCs/>
          <w:sz w:val="18"/>
          <w:szCs w:val="18"/>
        </w:rPr>
      </w:r>
      <w:r>
        <w:rPr>
          <w:rFonts w:ascii="Times New Roman" w:hAnsi="Times New Roman"/>
          <w:b/>
          <w:bCs/>
          <w:sz w:val="18"/>
          <w:szCs w:val="18"/>
        </w:rPr>
      </w:r>
    </w:p>
    <w:p w14:paraId="05C345EC">
      <w:pPr>
        <w:pBdr/>
        <w:spacing w:after="0" w:line="240" w:lineRule="auto"/>
        <w:ind w:firstLine="708"/>
        <w:jc w:val="both"/>
        <w:rPr/>
      </w:pPr>
      <w:r/>
      <w:bookmarkStart w:id="2" w:name="_Hlk96104466"/>
      <w:r/>
      <w:bookmarkEnd w:id="0"/>
      <w:r>
        <w:rPr>
          <w:rFonts w:ascii="Times New Roman" w:hAnsi="Times New Roman"/>
          <w:b/>
          <w:sz w:val="16"/>
          <w:szCs w:val="16"/>
        </w:rPr>
        <w:t xml:space="preserve">Белкин Андрей Геннадьевич</w:t>
      </w:r>
      <w:r>
        <w:rPr>
          <w:rFonts w:ascii="Times New Roman" w:hAnsi="Times New Roman"/>
          <w:b/>
          <w:sz w:val="16"/>
          <w:szCs w:val="16"/>
        </w:rPr>
        <w:t xml:space="preserve">, </w:t>
      </w:r>
      <w:r>
        <w:rPr>
          <w:rFonts w:ascii="Times New Roman" w:hAnsi="Times New Roman"/>
          <w:bCs/>
          <w:sz w:val="16"/>
          <w:szCs w:val="16"/>
        </w:rPr>
        <w:t xml:space="preserve">являющийся финансовым управляющим </w:t>
      </w:r>
      <w:r>
        <w:rPr>
          <w:rFonts w:ascii="Times New Roman" w:hAnsi="Times New Roman"/>
          <w:b/>
          <w:sz w:val="16"/>
          <w:szCs w:val="16"/>
        </w:rPr>
        <w:t xml:space="preserve">Вагнер Елены Сергеевны</w:t>
      </w:r>
      <w:r>
        <w:rPr>
          <w:rFonts w:ascii="Times New Roman" w:hAnsi="Times New Roman"/>
          <w:bCs/>
          <w:sz w:val="16"/>
          <w:szCs w:val="16"/>
        </w:rPr>
        <w:t xml:space="preserve">, действующий на основании </w:t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t xml:space="preserve">Определения Арбитражного суда  Московской области по Делу № А41-59012/2016 от 22.08.2024г.</w:t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Cs/>
          <w:sz w:val="16"/>
          <w:szCs w:val="16"/>
        </w:rPr>
      </w:r>
      <w:r>
        <w:rPr>
          <w:rFonts w:ascii="Times New Roman" w:hAnsi="Times New Roman"/>
          <w:bCs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 xml:space="preserve">именуемый в дальнейшем </w:t>
      </w:r>
      <w:r>
        <w:rPr>
          <w:rFonts w:ascii="Times New Roman" w:hAnsi="Times New Roman"/>
          <w:b/>
          <w:sz w:val="16"/>
          <w:szCs w:val="16"/>
        </w:rPr>
        <w:t xml:space="preserve">«</w:t>
      </w:r>
      <w:r>
        <w:rPr>
          <w:rFonts w:ascii="Times New Roman" w:hAnsi="Times New Roman"/>
          <w:b/>
          <w:sz w:val="16"/>
          <w:szCs w:val="16"/>
        </w:rPr>
        <w:t xml:space="preserve">Организатор торгов</w:t>
      </w:r>
      <w:r>
        <w:rPr>
          <w:rFonts w:ascii="Times New Roman" w:hAnsi="Times New Roman"/>
          <w:b/>
          <w:sz w:val="16"/>
          <w:szCs w:val="16"/>
        </w:rPr>
        <w:t xml:space="preserve">»</w:t>
      </w:r>
      <w:r>
        <w:rPr>
          <w:rFonts w:ascii="Times New Roman" w:hAnsi="Times New Roman"/>
          <w:bCs/>
          <w:sz w:val="16"/>
          <w:szCs w:val="16"/>
        </w:rPr>
        <w:t xml:space="preserve">,</w:t>
      </w:r>
      <w:r>
        <w:rPr>
          <w:rFonts w:ascii="Times New Roman" w:hAnsi="Times New Roman"/>
          <w:sz w:val="16"/>
          <w:szCs w:val="16"/>
        </w:rPr>
        <w:t xml:space="preserve"> с одной стороны</w:t>
      </w:r>
      <w:bookmarkEnd w:id="2"/>
      <w:r>
        <w:rPr>
          <w:rFonts w:ascii="Times New Roman" w:hAnsi="Times New Roman"/>
          <w:sz w:val="16"/>
          <w:szCs w:val="16"/>
        </w:rPr>
        <w:t xml:space="preserve">, и _______</w:t>
      </w:r>
      <w:r>
        <w:rPr>
          <w:rFonts w:ascii="Times New Roman" w:hAnsi="Times New Roman"/>
          <w:sz w:val="16"/>
          <w:szCs w:val="16"/>
        </w:rPr>
        <w:t xml:space="preserve">__</w:t>
      </w:r>
      <w:r>
        <w:rPr>
          <w:rFonts w:ascii="Times New Roman" w:hAnsi="Times New Roman"/>
          <w:sz w:val="16"/>
          <w:szCs w:val="16"/>
        </w:rPr>
        <w:t xml:space="preserve">________</w:t>
      </w:r>
      <w:r>
        <w:rPr>
          <w:rFonts w:ascii="Times New Roman" w:hAnsi="Times New Roman"/>
          <w:sz w:val="16"/>
          <w:szCs w:val="16"/>
        </w:rPr>
        <w:t xml:space="preserve">_________</w:t>
      </w:r>
      <w:r>
        <w:rPr>
          <w:rFonts w:ascii="Times New Roman" w:hAnsi="Times New Roman"/>
          <w:sz w:val="16"/>
          <w:szCs w:val="16"/>
        </w:rPr>
        <w:t xml:space="preserve">____</w:t>
      </w:r>
      <w:r>
        <w:rPr>
          <w:rFonts w:ascii="Times New Roman" w:hAnsi="Times New Roman"/>
          <w:sz w:val="16"/>
          <w:szCs w:val="16"/>
        </w:rPr>
        <w:t xml:space="preserve">__</w:t>
      </w:r>
      <w:r>
        <w:rPr>
          <w:rFonts w:ascii="Times New Roman" w:hAnsi="Times New Roman"/>
          <w:sz w:val="16"/>
          <w:szCs w:val="16"/>
        </w:rPr>
        <w:t xml:space="preserve">___, именуем</w:t>
      </w:r>
      <w:r>
        <w:rPr>
          <w:rFonts w:ascii="Times New Roman" w:hAnsi="Times New Roman"/>
          <w:sz w:val="16"/>
          <w:szCs w:val="16"/>
        </w:rPr>
        <w:t xml:space="preserve">ый</w:t>
      </w:r>
      <w:r>
        <w:rPr>
          <w:rFonts w:ascii="Times New Roman" w:hAnsi="Times New Roman"/>
          <w:sz w:val="16"/>
          <w:szCs w:val="16"/>
        </w:rPr>
        <w:t xml:space="preserve"> в дальнейшем </w:t>
      </w:r>
      <w:r>
        <w:rPr>
          <w:rFonts w:ascii="Times New Roman" w:hAnsi="Times New Roman"/>
          <w:b/>
          <w:bCs/>
          <w:sz w:val="16"/>
          <w:szCs w:val="16"/>
        </w:rPr>
        <w:t xml:space="preserve">«</w:t>
      </w:r>
      <w:r>
        <w:rPr>
          <w:rFonts w:ascii="Times New Roman" w:hAnsi="Times New Roman"/>
          <w:b/>
          <w:bCs/>
          <w:sz w:val="16"/>
          <w:szCs w:val="16"/>
        </w:rPr>
        <w:t xml:space="preserve">Заявитель</w:t>
      </w:r>
      <w:r>
        <w:rPr>
          <w:rFonts w:ascii="Times New Roman" w:hAnsi="Times New Roman"/>
          <w:b/>
          <w:bCs/>
          <w:sz w:val="16"/>
          <w:szCs w:val="16"/>
        </w:rPr>
        <w:t xml:space="preserve">»</w:t>
      </w:r>
      <w:r>
        <w:rPr>
          <w:rFonts w:ascii="Times New Roman" w:hAnsi="Times New Roman"/>
          <w:sz w:val="16"/>
          <w:szCs w:val="16"/>
        </w:rPr>
        <w:t xml:space="preserve">,</w:t>
      </w:r>
      <w:r>
        <w:rPr>
          <w:rFonts w:ascii="Times New Roman" w:hAnsi="Times New Roman"/>
          <w:sz w:val="16"/>
          <w:szCs w:val="16"/>
        </w:rPr>
        <w:t xml:space="preserve"> действующ</w:t>
      </w:r>
      <w:r>
        <w:rPr>
          <w:rFonts w:ascii="Times New Roman" w:hAnsi="Times New Roman"/>
          <w:sz w:val="16"/>
          <w:szCs w:val="16"/>
        </w:rPr>
        <w:t xml:space="preserve">ий</w:t>
      </w:r>
      <w:r>
        <w:rPr>
          <w:rFonts w:ascii="Times New Roman" w:hAnsi="Times New Roman"/>
          <w:sz w:val="16"/>
          <w:szCs w:val="16"/>
        </w:rPr>
        <w:t xml:space="preserve"> на основании ____</w:t>
      </w:r>
      <w:r>
        <w:rPr>
          <w:rFonts w:ascii="Times New Roman" w:hAnsi="Times New Roman"/>
          <w:sz w:val="16"/>
          <w:szCs w:val="16"/>
        </w:rPr>
        <w:t xml:space="preserve">__</w:t>
      </w:r>
      <w:r>
        <w:rPr>
          <w:rFonts w:ascii="Times New Roman" w:hAnsi="Times New Roman"/>
          <w:sz w:val="16"/>
          <w:szCs w:val="16"/>
        </w:rPr>
        <w:t xml:space="preserve">___</w:t>
      </w:r>
      <w:r>
        <w:rPr>
          <w:rFonts w:ascii="Times New Roman" w:hAnsi="Times New Roman"/>
          <w:sz w:val="16"/>
          <w:szCs w:val="16"/>
        </w:rPr>
        <w:t xml:space="preserve">___</w:t>
      </w:r>
      <w:r>
        <w:rPr>
          <w:rFonts w:ascii="Times New Roman" w:hAnsi="Times New Roman"/>
          <w:sz w:val="16"/>
          <w:szCs w:val="16"/>
        </w:rPr>
        <w:t xml:space="preserve">_____, с другой стороны, вместе именуемые «Стороны», заключили настоящий договор о нижеследующем:</w:t>
      </w:r>
      <w:r>
        <w:rPr>
          <w:rFonts w:ascii="Times New Roman" w:hAnsi="Times New Roman"/>
          <w:sz w:val="16"/>
          <w:szCs w:val="16"/>
        </w:rPr>
      </w:r>
      <w:r/>
      <w:r>
        <w:rPr>
          <w:rFonts w:ascii="Times New Roman" w:hAnsi="Times New Roman"/>
          <w:b/>
          <w:sz w:val="16"/>
          <w:szCs w:val="16"/>
        </w:rPr>
      </w:r>
    </w:p>
    <w:p w14:paraId="13C30A78" w14:textId="77777777">
      <w:pPr>
        <w:pBdr/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 w14:paraId="3C7566E0" w14:textId="77777777">
      <w:pPr>
        <w:pStyle w:val="677"/>
        <w:numPr>
          <w:ilvl w:val="0"/>
          <w:numId w:val="1"/>
        </w:numPr>
        <w:pBdr/>
        <w:tabs>
          <w:tab w:val="left" w:leader="none" w:pos="426"/>
        </w:tabs>
        <w:spacing/>
        <w:ind w:firstLine="0"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ПРЕДМЕТ ДОГОВОРА</w:t>
      </w:r>
      <w:r>
        <w:rPr>
          <w:rFonts w:ascii="Times New Roman" w:hAnsi="Times New Roman"/>
          <w:b/>
          <w:sz w:val="16"/>
          <w:szCs w:val="16"/>
        </w:rPr>
      </w:r>
    </w:p>
    <w:p w14:paraId="7EF86B93" w14:textId="1D4047E8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В соответствии с условиями настоящего Договора, Заявитель для участия в торгах по продаже имущества должника </w:t>
      </w: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  <w:t xml:space="preserve">Вагнер Елены Сергеевны</w:t>
      </w:r>
      <w:r/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sz w:val="16"/>
          <w:szCs w:val="16"/>
        </w:rPr>
        <w:t xml:space="preserve"> указанного в п.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1.2 настоящего Договора, вносит в порядке, указанном в Разделе 2 настоящего Договора, задаток в размере ________</w:t>
      </w:r>
      <w:r>
        <w:rPr>
          <w:rFonts w:ascii="Times New Roman" w:hAnsi="Times New Roman"/>
          <w:sz w:val="16"/>
          <w:szCs w:val="16"/>
        </w:rPr>
        <w:t xml:space="preserve">_____________________</w:t>
      </w:r>
      <w:r>
        <w:rPr>
          <w:rFonts w:ascii="Times New Roman" w:hAnsi="Times New Roman"/>
          <w:sz w:val="16"/>
          <w:szCs w:val="16"/>
        </w:rPr>
        <w:t xml:space="preserve">______ руб.</w:t>
      </w:r>
      <w:r>
        <w:rPr>
          <w:rFonts w:ascii="Times New Roman" w:hAnsi="Times New Roman"/>
          <w:sz w:val="16"/>
          <w:szCs w:val="16"/>
        </w:rPr>
      </w:r>
    </w:p>
    <w:p w14:paraId="1B43DC31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Продаваемое на электронных торга имущество:</w:t>
      </w:r>
      <w:r>
        <w:rPr>
          <w:rFonts w:ascii="Times New Roman" w:hAnsi="Times New Roman"/>
          <w:sz w:val="16"/>
          <w:szCs w:val="16"/>
        </w:rPr>
      </w:r>
    </w:p>
    <w:p w14:paraId="15630BF6" w14:textId="77777777">
      <w:pPr>
        <w:pStyle w:val="677"/>
        <w:pBdr/>
        <w:tabs>
          <w:tab w:val="left" w:leader="none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</w:rPr>
        <w:t xml:space="preserve">_____</w:t>
      </w:r>
      <w:r>
        <w:rPr>
          <w:rFonts w:ascii="Times New Roman" w:hAnsi="Times New Roman"/>
          <w:sz w:val="16"/>
          <w:szCs w:val="16"/>
        </w:rPr>
        <w:t xml:space="preserve">____</w:t>
      </w:r>
      <w:r>
        <w:rPr>
          <w:rFonts w:ascii="Times New Roman" w:hAnsi="Times New Roman"/>
          <w:sz w:val="16"/>
          <w:szCs w:val="16"/>
        </w:rPr>
      </w:r>
    </w:p>
    <w:p w14:paraId="13CE8CC6" w14:textId="77777777">
      <w:pPr>
        <w:pStyle w:val="677"/>
        <w:pBdr/>
        <w:tabs>
          <w:tab w:val="left" w:leader="none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_______________________________________________________________________________________________________________________________</w:t>
      </w:r>
      <w:r>
        <w:rPr>
          <w:rFonts w:ascii="Times New Roman" w:hAnsi="Times New Roman"/>
          <w:sz w:val="16"/>
          <w:szCs w:val="16"/>
        </w:rPr>
        <w:t xml:space="preserve">_____</w:t>
      </w:r>
      <w:r>
        <w:rPr>
          <w:rFonts w:ascii="Times New Roman" w:hAnsi="Times New Roman"/>
          <w:sz w:val="16"/>
          <w:szCs w:val="16"/>
        </w:rPr>
        <w:t xml:space="preserve">_.</w:t>
      </w:r>
      <w:r>
        <w:rPr>
          <w:rFonts w:ascii="Times New Roman" w:hAnsi="Times New Roman"/>
          <w:sz w:val="16"/>
          <w:szCs w:val="16"/>
        </w:rPr>
      </w:r>
    </w:p>
    <w:p w14:paraId="75FB4871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Задаток вносится Заявителе</w:t>
      </w:r>
      <w:r>
        <w:rPr>
          <w:rFonts w:ascii="Times New Roman" w:hAnsi="Times New Roman"/>
          <w:sz w:val="16"/>
          <w:szCs w:val="16"/>
        </w:rPr>
        <w:t xml:space="preserve">м</w:t>
      </w:r>
      <w:r>
        <w:rPr>
          <w:rFonts w:ascii="Times New Roman" w:hAnsi="Times New Roman"/>
          <w:sz w:val="16"/>
          <w:szCs w:val="16"/>
        </w:rPr>
        <w:t xml:space="preserve"> в счёт обеспечения исполнения обязательств по оплате</w:t>
      </w:r>
      <w:r>
        <w:rPr>
          <w:rFonts w:ascii="Times New Roman" w:hAnsi="Times New Roman"/>
          <w:sz w:val="16"/>
          <w:szCs w:val="16"/>
        </w:rPr>
        <w:t xml:space="preserve"> продаваемого на торгах имущества.</w:t>
      </w:r>
      <w:r>
        <w:rPr>
          <w:rFonts w:ascii="Times New Roman" w:hAnsi="Times New Roman"/>
          <w:sz w:val="16"/>
          <w:szCs w:val="16"/>
        </w:rPr>
      </w:r>
    </w:p>
    <w:p w14:paraId="4416FFF3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Торги проводятся на электронной торговой площадке, расположенной в сети Интернет по адресу: </w:t>
      </w:r>
      <w:r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 xml:space="preserve">www</w:t>
      </w:r>
      <w:r>
        <w:rPr>
          <w:rFonts w:ascii="Times New Roman" w:hAnsi="Times New Roman"/>
          <w:b/>
          <w:bCs/>
          <w:sz w:val="16"/>
          <w:szCs w:val="16"/>
          <w:u w:val="single"/>
        </w:rPr>
        <w:t xml:space="preserve">.</w:t>
      </w:r>
      <w:r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 xml:space="preserve">bepspb</w:t>
      </w:r>
      <w:r>
        <w:rPr>
          <w:rFonts w:ascii="Times New Roman" w:hAnsi="Times New Roman"/>
          <w:b/>
          <w:bCs/>
          <w:sz w:val="16"/>
          <w:szCs w:val="16"/>
          <w:u w:val="single"/>
        </w:rPr>
        <w:t xml:space="preserve">.</w:t>
      </w:r>
      <w:r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 xml:space="preserve">ru</w:t>
      </w:r>
      <w:r>
        <w:rPr>
          <w:rFonts w:ascii="Times New Roman" w:hAnsi="Times New Roman"/>
          <w:sz w:val="16"/>
          <w:szCs w:val="16"/>
        </w:rPr>
      </w:r>
    </w:p>
    <w:p w14:paraId="4165F281" w14:textId="77777777">
      <w:p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 w14:paraId="7F1527E9" w14:textId="77777777">
      <w:pPr>
        <w:pStyle w:val="677"/>
        <w:numPr>
          <w:ilvl w:val="0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ПОРЯДОК ВНЕСЕНИЯ ЗАДАТКА</w:t>
      </w:r>
      <w:r>
        <w:rPr>
          <w:rFonts w:ascii="Times New Roman" w:hAnsi="Times New Roman"/>
          <w:b/>
          <w:sz w:val="16"/>
          <w:szCs w:val="16"/>
        </w:rPr>
      </w:r>
    </w:p>
    <w:p w14:paraId="69A908CF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Задаток должен быть внесен Заявителем на счёт оператора электронной площадки (далее – Оператора ЭТП) и заблокирован участником для участия в торгах до даты окончания приема заявок / этапа приема заявок.</w:t>
      </w:r>
      <w:r>
        <w:rPr>
          <w:rFonts w:ascii="Times New Roman" w:hAnsi="Times New Roman"/>
          <w:sz w:val="16"/>
          <w:szCs w:val="16"/>
        </w:rPr>
      </w:r>
    </w:p>
    <w:p w14:paraId="14C3CE16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Реквизиты счета, предназначенного для перечисления сумм задатков:</w:t>
      </w:r>
      <w:r>
        <w:rPr>
          <w:rFonts w:ascii="Times New Roman" w:hAnsi="Times New Roman"/>
          <w:sz w:val="16"/>
          <w:szCs w:val="16"/>
        </w:rPr>
      </w:r>
    </w:p>
    <w:p w14:paraId="64CD8BE3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</w:rPr>
        <w:t xml:space="preserve">Наименование получателя: </w:t>
      </w:r>
      <w:r>
        <w:rPr>
          <w:rFonts w:ascii="Times New Roman" w:hAnsi="Times New Roman"/>
          <w:sz w:val="16"/>
          <w:szCs w:val="16"/>
          <w:lang w:val="ru-RU"/>
        </w:rPr>
        <w:t xml:space="preserve">Вагнер Елена Сергеевна</w:t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  <w:lang w:val="ru-RU"/>
        </w:rPr>
      </w:r>
      <w:r>
        <w:rPr>
          <w:rFonts w:ascii="Times New Roman" w:hAnsi="Times New Roman"/>
          <w:sz w:val="16"/>
          <w:szCs w:val="16"/>
          <w:lang w:val="ru-RU"/>
        </w:rPr>
      </w:r>
    </w:p>
    <w:p w14:paraId="70836A3A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 xml:space="preserve">ИНН 503603192284, </w:t>
      </w:r>
      <w:r>
        <w:rPr>
          <w:rFonts w:ascii="Times New Roman" w:hAnsi="Times New Roman"/>
          <w:sz w:val="16"/>
          <w:szCs w:val="16"/>
          <w:lang w:val="ru-RU"/>
        </w:rPr>
      </w:r>
      <w:r/>
    </w:p>
    <w:p w14:paraId="1927F2BB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/>
      </w:pPr>
      <w:r>
        <w:rPr>
          <w:rFonts w:ascii="Times New Roman" w:hAnsi="Times New Roman"/>
          <w:sz w:val="16"/>
          <w:szCs w:val="16"/>
          <w:lang w:val="ru-RU"/>
        </w:rPr>
        <w:t xml:space="preserve">Номер счета: 40817810350162878256 </w:t>
      </w:r>
      <w:r>
        <w:rPr>
          <w:rFonts w:ascii="Times New Roman" w:hAnsi="Times New Roman"/>
          <w:sz w:val="16"/>
          <w:szCs w:val="16"/>
          <w:lang w:val="ru-RU"/>
        </w:rPr>
      </w:r>
    </w:p>
    <w:p w14:paraId="5B362AC5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/>
      </w:pPr>
      <w:r>
        <w:rPr>
          <w:rFonts w:ascii="Times New Roman" w:hAnsi="Times New Roman"/>
          <w:sz w:val="16"/>
          <w:szCs w:val="16"/>
          <w:lang w:val="ru-RU"/>
        </w:rPr>
        <w:t xml:space="preserve">Филиал «Центральный» ПАО «СОВКОМБАНК»,</w:t>
      </w:r>
      <w:r>
        <w:rPr>
          <w:rFonts w:ascii="Times New Roman" w:hAnsi="Times New Roman"/>
          <w:sz w:val="16"/>
          <w:szCs w:val="16"/>
          <w:lang w:val="ru-RU"/>
        </w:rPr>
      </w:r>
    </w:p>
    <w:p w14:paraId="1EA18FB9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/>
      </w:pPr>
      <w:r>
        <w:rPr>
          <w:rFonts w:ascii="Times New Roman" w:hAnsi="Times New Roman"/>
          <w:sz w:val="16"/>
          <w:szCs w:val="16"/>
          <w:lang w:val="ru-RU"/>
        </w:rPr>
        <w:t xml:space="preserve">кор. счет 30101810150040000763 </w:t>
      </w:r>
      <w:r>
        <w:rPr>
          <w:rFonts w:ascii="Times New Roman" w:hAnsi="Times New Roman"/>
          <w:sz w:val="16"/>
          <w:szCs w:val="16"/>
          <w:lang w:val="ru-RU"/>
        </w:rPr>
      </w:r>
    </w:p>
    <w:p w14:paraId="58614788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ru-RU"/>
        </w:rPr>
        <w:t xml:space="preserve">БИК 045004763</w:t>
      </w:r>
      <w:r>
        <w:rPr>
          <w:rFonts w:ascii="Times New Roman" w:hAnsi="Times New Roman"/>
          <w:sz w:val="16"/>
          <w:szCs w:val="16"/>
          <w:lang w:val="ru-RU"/>
        </w:rPr>
      </w:r>
      <w:r>
        <w:rPr>
          <w:rFonts w:ascii="Times New Roman" w:hAnsi="Times New Roman"/>
          <w:sz w:val="16"/>
          <w:szCs w:val="16"/>
          <w:lang w:val="ru-RU"/>
        </w:rPr>
      </w:r>
      <w:r>
        <w:rPr>
          <w:rFonts w:ascii="Times New Roman" w:hAnsi="Times New Roman"/>
          <w:sz w:val="16"/>
          <w:szCs w:val="16"/>
        </w:rPr>
      </w:r>
      <w:r/>
    </w:p>
    <w:p w14:paraId="0AFE12EA" w14:textId="77777777">
      <w:pPr>
        <w:pStyle w:val="677"/>
        <w:pBdr/>
        <w:tabs>
          <w:tab w:val="left" w:leader="none" w:pos="426"/>
        </w:tabs>
        <w:spacing w:after="0" w:line="240" w:lineRule="auto"/>
        <w:ind w:left="70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Назначение платежа: «Оплата задатка за участие в аукционе, без НДС</w:t>
      </w:r>
      <w:r>
        <w:rPr>
          <w:rFonts w:ascii="Times New Roman" w:hAnsi="Times New Roman"/>
          <w:sz w:val="16"/>
          <w:szCs w:val="16"/>
        </w:rPr>
      </w:r>
    </w:p>
    <w:p w14:paraId="5028609E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Порядок внесения, блокирования и возврата задатка для участия в торгах, а также отношения, возникающие между Заявителем и Оператором ЭТП, указаны в соответствующем Регламенте электронной площадки, размещенной в сети Интернет по адресу: </w:t>
      </w:r>
      <w:r>
        <w:rPr>
          <w:rFonts w:ascii="Times New Roman" w:hAnsi="Times New Roman"/>
          <w:sz w:val="16"/>
          <w:szCs w:val="16"/>
          <w:lang w:val="en-US"/>
        </w:rPr>
      </w:r>
      <w:r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 xml:space="preserve">www</w:t>
      </w:r>
      <w:r>
        <w:rPr>
          <w:rFonts w:ascii="Times New Roman" w:hAnsi="Times New Roman"/>
          <w:b/>
          <w:bCs/>
          <w:sz w:val="16"/>
          <w:szCs w:val="16"/>
          <w:u w:val="single"/>
        </w:rPr>
        <w:t xml:space="preserve">.</w:t>
      </w:r>
      <w:r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 xml:space="preserve">bepspb</w:t>
      </w:r>
      <w:r>
        <w:rPr>
          <w:rFonts w:ascii="Times New Roman" w:hAnsi="Times New Roman"/>
          <w:b/>
          <w:bCs/>
          <w:sz w:val="16"/>
          <w:szCs w:val="16"/>
          <w:u w:val="single"/>
        </w:rPr>
        <w:t xml:space="preserve">.</w:t>
      </w:r>
      <w:r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 xml:space="preserve">ru</w:t>
      </w:r>
      <w:r/>
      <w:r>
        <w:rPr>
          <w:rFonts w:ascii="Times New Roman" w:hAnsi="Times New Roman"/>
          <w:sz w:val="16"/>
          <w:szCs w:val="16"/>
          <w:lang w:val="en-US"/>
        </w:rPr>
      </w:r>
      <w:r>
        <w:rPr>
          <w:rFonts w:ascii="Times New Roman" w:hAnsi="Times New Roman"/>
          <w:sz w:val="16"/>
          <w:szCs w:val="16"/>
        </w:rPr>
        <w:t xml:space="preserve"> (далее – Регламент).</w:t>
      </w:r>
      <w:r>
        <w:rPr>
          <w:rFonts w:ascii="Times New Roman" w:hAnsi="Times New Roman"/>
          <w:sz w:val="16"/>
          <w:szCs w:val="16"/>
        </w:rPr>
      </w:r>
    </w:p>
    <w:p w14:paraId="380F5D6C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В случа</w:t>
      </w:r>
      <w:r>
        <w:rPr>
          <w:rFonts w:ascii="Times New Roman" w:hAnsi="Times New Roman"/>
          <w:sz w:val="16"/>
          <w:szCs w:val="16"/>
        </w:rPr>
        <w:t xml:space="preserve">е невнесения суммы задатка в установленный срок либо невыполнения действия по блокированию суммы задатка на сайте Оператора ЭТП обязательства Заявителя по внесению задатка считаются невыполненными. В этом случае Заявитель к участию в торгах не допускается.</w:t>
      </w:r>
      <w:r>
        <w:rPr>
          <w:rFonts w:ascii="Times New Roman" w:hAnsi="Times New Roman"/>
          <w:sz w:val="16"/>
          <w:szCs w:val="16"/>
        </w:rPr>
      </w:r>
    </w:p>
    <w:p w14:paraId="407FD1C6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 денежные средства, перечисленные в соответствии с настоящим Договором, проценты не начисляются.</w:t>
      </w:r>
      <w:r>
        <w:rPr>
          <w:rFonts w:ascii="Times New Roman" w:hAnsi="Times New Roman"/>
          <w:sz w:val="16"/>
          <w:szCs w:val="16"/>
        </w:rPr>
      </w:r>
    </w:p>
    <w:p w14:paraId="029F7518" w14:textId="77777777">
      <w:p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 w14:paraId="3A5BDD3B" w14:textId="77777777">
      <w:pPr>
        <w:pStyle w:val="677"/>
        <w:numPr>
          <w:ilvl w:val="0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ПОРЯДОК ВОЗВРАТА И УДЕРЖАНИЯ ЗАДАТКА</w:t>
      </w:r>
      <w:r>
        <w:rPr>
          <w:rFonts w:ascii="Times New Roman" w:hAnsi="Times New Roman"/>
          <w:b/>
          <w:sz w:val="16"/>
          <w:szCs w:val="16"/>
        </w:rPr>
      </w:r>
    </w:p>
    <w:p w14:paraId="2F912EBD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Сумма задатка, </w:t>
      </w:r>
      <w:r>
        <w:rPr>
          <w:rFonts w:ascii="Times New Roman" w:hAnsi="Times New Roman"/>
          <w:sz w:val="16"/>
          <w:szCs w:val="16"/>
        </w:rPr>
        <w:t xml:space="preserve">внесенная </w:t>
      </w:r>
      <w:r>
        <w:rPr>
          <w:rFonts w:ascii="Times New Roman" w:hAnsi="Times New Roman"/>
          <w:sz w:val="16"/>
          <w:szCs w:val="16"/>
        </w:rPr>
        <w:t xml:space="preserve">Заявителем на </w:t>
      </w:r>
      <w:r>
        <w:rPr>
          <w:rFonts w:ascii="Times New Roman" w:hAnsi="Times New Roman"/>
          <w:sz w:val="16"/>
          <w:szCs w:val="16"/>
        </w:rPr>
        <w:t xml:space="preserve"> счет должника, возвращается </w:t>
      </w:r>
      <w:r>
        <w:rPr>
          <w:rFonts w:ascii="Times New Roman" w:hAnsi="Times New Roman"/>
          <w:sz w:val="16"/>
          <w:szCs w:val="16"/>
        </w:rPr>
        <w:t xml:space="preserve">З</w:t>
      </w:r>
      <w:r>
        <w:rPr>
          <w:rFonts w:ascii="Times New Roman" w:hAnsi="Times New Roman"/>
          <w:sz w:val="16"/>
          <w:szCs w:val="16"/>
        </w:rPr>
        <w:t xml:space="preserve">аявителю при </w:t>
      </w:r>
      <w:r>
        <w:rPr>
          <w:rFonts w:ascii="Times New Roman" w:hAnsi="Times New Roman"/>
          <w:sz w:val="16"/>
          <w:szCs w:val="16"/>
        </w:rPr>
        <w:t xml:space="preserve">наступлении любого из следующих пунктов:</w:t>
      </w:r>
      <w:r>
        <w:rPr>
          <w:rFonts w:ascii="Times New Roman" w:hAnsi="Times New Roman"/>
          <w:sz w:val="16"/>
          <w:szCs w:val="16"/>
        </w:rPr>
      </w:r>
    </w:p>
    <w:p w14:paraId="6FBAD16A" w14:textId="77777777">
      <w:pPr>
        <w:pStyle w:val="677"/>
        <w:numPr>
          <w:ilvl w:val="0"/>
          <w:numId w:val="3"/>
        </w:num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Размещение на ЭТП Протокола об отказе Заявителю к участию в торгах:</w:t>
      </w:r>
      <w:r>
        <w:rPr>
          <w:rFonts w:ascii="Times New Roman" w:hAnsi="Times New Roman"/>
          <w:sz w:val="16"/>
          <w:szCs w:val="16"/>
        </w:rPr>
      </w:r>
    </w:p>
    <w:p w14:paraId="6D00B7A8" w14:textId="77777777">
      <w:pPr>
        <w:pStyle w:val="677"/>
        <w:numPr>
          <w:ilvl w:val="0"/>
          <w:numId w:val="3"/>
        </w:num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Размещение на ЭТП Протокола об отмене торгов Организатором;</w:t>
      </w:r>
      <w:r>
        <w:rPr>
          <w:rFonts w:ascii="Times New Roman" w:hAnsi="Times New Roman"/>
          <w:sz w:val="16"/>
          <w:szCs w:val="16"/>
        </w:rPr>
      </w:r>
    </w:p>
    <w:p w14:paraId="4F929474" w14:textId="77777777">
      <w:pPr>
        <w:pStyle w:val="677"/>
        <w:numPr>
          <w:ilvl w:val="0"/>
          <w:numId w:val="3"/>
        </w:num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Размещение на ЭТП Протокола об отказе от торгов по решению залогового кредитора;</w:t>
      </w:r>
      <w:r>
        <w:rPr>
          <w:rFonts w:ascii="Times New Roman" w:hAnsi="Times New Roman"/>
          <w:sz w:val="16"/>
          <w:szCs w:val="16"/>
        </w:rPr>
      </w:r>
    </w:p>
    <w:p w14:paraId="4555F9B0" w14:textId="77777777">
      <w:pPr>
        <w:pStyle w:val="677"/>
        <w:numPr>
          <w:ilvl w:val="0"/>
          <w:numId w:val="3"/>
        </w:num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Размещение на ЭТП Протокола о признании победителем торгов другого участника;</w:t>
      </w:r>
      <w:r>
        <w:rPr>
          <w:rFonts w:ascii="Times New Roman" w:hAnsi="Times New Roman"/>
          <w:sz w:val="16"/>
          <w:szCs w:val="16"/>
        </w:rPr>
      </w:r>
    </w:p>
    <w:p w14:paraId="0E589CB9" w14:textId="77777777">
      <w:pPr>
        <w:pStyle w:val="677"/>
        <w:numPr>
          <w:ilvl w:val="0"/>
          <w:numId w:val="3"/>
        </w:numPr>
        <w:pBdr/>
        <w:tabs>
          <w:tab w:val="left" w:leader="none" w:pos="426"/>
        </w:tabs>
        <w:spacing w:after="0" w:line="240" w:lineRule="auto"/>
        <w:ind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Размещение на ЭТП Протокола о признании торгов несостоявшимися (в том числе, в случае допуска к торгам единственного участника).</w:t>
      </w:r>
      <w:r>
        <w:rPr>
          <w:rFonts w:ascii="Times New Roman" w:hAnsi="Times New Roman"/>
          <w:sz w:val="16"/>
          <w:szCs w:val="16"/>
        </w:rPr>
      </w:r>
    </w:p>
    <w:p w14:paraId="78811921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Сумма задатка не возвращается Заявителю (участнику торгов) в случаях:</w:t>
      </w:r>
      <w:r>
        <w:rPr>
          <w:rFonts w:ascii="Times New Roman" w:hAnsi="Times New Roman"/>
          <w:sz w:val="16"/>
          <w:szCs w:val="16"/>
        </w:rPr>
        <w:t xml:space="preserve"> уклонения Заявителя, признанного Победителем торгов, от заключения договора купли-продажи имущества в установленном порядке, в сроки и на ус</w:t>
      </w:r>
      <w:r>
        <w:rPr>
          <w:rFonts w:ascii="Times New Roman" w:hAnsi="Times New Roman"/>
          <w:sz w:val="16"/>
          <w:szCs w:val="16"/>
        </w:rPr>
        <w:t xml:space="preserve">ловиях, указанных в проекте договора купли-продажи и в извещении, а также в случае неперечисления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</w:t>
      </w:r>
      <w:r>
        <w:rPr>
          <w:rFonts w:ascii="Times New Roman" w:hAnsi="Times New Roman"/>
          <w:sz w:val="16"/>
          <w:szCs w:val="16"/>
        </w:rPr>
      </w:r>
    </w:p>
    <w:p w14:paraId="0BAE0279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В случае если Заявитель признан победителем торгов, задаток Заявителю не возвращается, а </w:t>
      </w:r>
      <w:r>
        <w:rPr>
          <w:rFonts w:ascii="Times New Roman" w:hAnsi="Times New Roman"/>
          <w:sz w:val="16"/>
          <w:szCs w:val="16"/>
        </w:rPr>
        <w:t xml:space="preserve">засчитывается </w:t>
      </w:r>
      <w:r>
        <w:rPr>
          <w:rFonts w:ascii="Times New Roman" w:hAnsi="Times New Roman"/>
          <w:sz w:val="16"/>
          <w:szCs w:val="16"/>
        </w:rPr>
        <w:t xml:space="preserve">Организатор</w:t>
      </w:r>
      <w:r>
        <w:rPr>
          <w:rFonts w:ascii="Times New Roman" w:hAnsi="Times New Roman"/>
          <w:sz w:val="16"/>
          <w:szCs w:val="16"/>
        </w:rPr>
        <w:t xml:space="preserve">ом</w:t>
      </w:r>
      <w:r>
        <w:rPr>
          <w:rFonts w:ascii="Times New Roman" w:hAnsi="Times New Roman"/>
          <w:sz w:val="16"/>
          <w:szCs w:val="16"/>
        </w:rPr>
        <w:t xml:space="preserve"> торгов (продавц</w:t>
      </w:r>
      <w:r>
        <w:rPr>
          <w:rFonts w:ascii="Times New Roman" w:hAnsi="Times New Roman"/>
          <w:sz w:val="16"/>
          <w:szCs w:val="16"/>
        </w:rPr>
        <w:t xml:space="preserve">ом</w:t>
      </w:r>
      <w:r>
        <w:rPr>
          <w:rFonts w:ascii="Times New Roman" w:hAnsi="Times New Roman"/>
          <w:sz w:val="16"/>
          <w:szCs w:val="16"/>
        </w:rPr>
        <w:t xml:space="preserve">), в счет оплаты приобретаемого на торгах имущества.</w:t>
      </w:r>
      <w:r>
        <w:rPr>
          <w:rFonts w:ascii="Times New Roman" w:hAnsi="Times New Roman"/>
          <w:sz w:val="16"/>
          <w:szCs w:val="16"/>
        </w:rPr>
      </w:r>
    </w:p>
    <w:p w14:paraId="2DA19C9F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Задаток возвращается Заявителю в течение 5 (Пяти) рабочих дней с даты подписания Организаторов торгов Протокола о результатах проведения торгов, либо иного Протокола при наступлении в случаях, указанных в п. 3.</w:t>
      </w:r>
      <w:r>
        <w:rPr>
          <w:rFonts w:ascii="Times New Roman" w:hAnsi="Times New Roman"/>
          <w:sz w:val="16"/>
          <w:szCs w:val="16"/>
          <w:lang w:val="en-US"/>
        </w:rPr>
        <w:t xml:space="preserve">1</w:t>
      </w:r>
      <w:r>
        <w:rPr>
          <w:rFonts w:ascii="Times New Roman" w:hAnsi="Times New Roman"/>
          <w:sz w:val="16"/>
          <w:szCs w:val="16"/>
        </w:rPr>
        <w:t xml:space="preserve">. настоящего Договора.</w:t>
      </w:r>
      <w:r>
        <w:rPr>
          <w:rFonts w:ascii="Times New Roman" w:hAnsi="Times New Roman"/>
          <w:sz w:val="16"/>
          <w:szCs w:val="16"/>
        </w:rPr>
      </w:r>
    </w:p>
    <w:p w14:paraId="2C02503C" w14:textId="77777777">
      <w:pPr>
        <w:pStyle w:val="677"/>
        <w:pBdr/>
        <w:spacing w:after="0" w:line="240" w:lineRule="auto"/>
        <w:ind w:firstLine="709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 w14:paraId="6FCCEAC8" w14:textId="77777777">
      <w:pPr>
        <w:pStyle w:val="677"/>
        <w:numPr>
          <w:ilvl w:val="0"/>
          <w:numId w:val="1"/>
        </w:numPr>
        <w:pBdr/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СРОК ДЕЙСТВИЯ НАСТОЯЩЕГО ДОГОВОРА</w:t>
      </w:r>
      <w:r>
        <w:rPr>
          <w:rFonts w:ascii="Times New Roman" w:hAnsi="Times New Roman"/>
          <w:b/>
          <w:sz w:val="16"/>
          <w:szCs w:val="16"/>
        </w:rPr>
      </w:r>
    </w:p>
    <w:p w14:paraId="2357E475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Настоящий Договор вступает в силу с момента подписания его электронной подписью Заявителя и подачи его в составе заявки, либо с момент</w:t>
      </w:r>
      <w:r>
        <w:rPr>
          <w:rFonts w:ascii="Times New Roman" w:hAnsi="Times New Roman"/>
          <w:sz w:val="16"/>
          <w:szCs w:val="16"/>
        </w:rPr>
        <w:t xml:space="preserve">а блокирования суммы денежных средств в качестве задатка для участия в торгах по продаже имущества, указанного 1.1. настоящего Договора, на лицевом счете Заявителя, в соответствии с Регламентом электронной площадки, указанным в п. 2.3. настоящего Договора.</w:t>
      </w:r>
      <w:r>
        <w:rPr>
          <w:rFonts w:ascii="Times New Roman" w:hAnsi="Times New Roman"/>
          <w:sz w:val="16"/>
          <w:szCs w:val="16"/>
        </w:rPr>
      </w:r>
    </w:p>
    <w:p w14:paraId="7DE42242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Настоящий Договор прекращает свое действия после исполнения Сторонами своих обязательств по нему.</w:t>
      </w:r>
      <w:r>
        <w:rPr>
          <w:rFonts w:ascii="Times New Roman" w:hAnsi="Times New Roman"/>
          <w:sz w:val="16"/>
          <w:szCs w:val="16"/>
        </w:rPr>
      </w:r>
    </w:p>
    <w:p w14:paraId="3403424D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Все возможные споры и разно</w:t>
      </w:r>
      <w:r>
        <w:rPr>
          <w:rFonts w:ascii="Times New Roman" w:hAnsi="Times New Roman"/>
          <w:sz w:val="16"/>
          <w:szCs w:val="16"/>
        </w:rPr>
        <w:t xml:space="preserve">гласия, связанные с исполнение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  <w:r>
        <w:rPr>
          <w:rFonts w:ascii="Times New Roman" w:hAnsi="Times New Roman"/>
          <w:sz w:val="16"/>
          <w:szCs w:val="16"/>
        </w:rPr>
      </w:r>
    </w:p>
    <w:p w14:paraId="7C13556B" w14:textId="77777777">
      <w:pPr>
        <w:pStyle w:val="677"/>
        <w:numPr>
          <w:ilvl w:val="1"/>
          <w:numId w:val="1"/>
        </w:numPr>
        <w:pBdr/>
        <w:tabs>
          <w:tab w:val="left" w:leader="none" w:pos="426"/>
        </w:tabs>
        <w:spacing w:after="0" w:line="240" w:lineRule="auto"/>
        <w:ind w:firstLine="0"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Настоящий Договор составлен в двух </w:t>
      </w:r>
      <w:r>
        <w:rPr>
          <w:rFonts w:ascii="Times New Roman" w:hAnsi="Times New Roman"/>
          <w:sz w:val="16"/>
          <w:szCs w:val="16"/>
        </w:rPr>
        <w:t xml:space="preserve">экземплярах,</w:t>
      </w:r>
      <w:r>
        <w:rPr>
          <w:rFonts w:ascii="Times New Roman" w:hAnsi="Times New Roman"/>
          <w:sz w:val="16"/>
          <w:szCs w:val="16"/>
        </w:rPr>
        <w:t xml:space="preserve"> имеющих одинаковую юридическую силу, по одному для каждой из Сторон. </w:t>
      </w:r>
      <w:r>
        <w:rPr>
          <w:rFonts w:ascii="Times New Roman" w:hAnsi="Times New Roman"/>
          <w:sz w:val="16"/>
          <w:szCs w:val="16"/>
        </w:rPr>
      </w:r>
    </w:p>
    <w:p w14:paraId="0CC0D4B9" w14:textId="77777777">
      <w:pPr>
        <w:pStyle w:val="677"/>
        <w:pBdr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p w14:paraId="5CAD7195" w14:textId="77777777">
      <w:pPr>
        <w:pStyle w:val="677"/>
        <w:numPr>
          <w:ilvl w:val="0"/>
          <w:numId w:val="1"/>
        </w:numPr>
        <w:pBdr/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РЕКВИЗИТЫ СТОРО</w:t>
      </w:r>
      <w:r>
        <w:rPr>
          <w:rFonts w:ascii="Times New Roman" w:hAnsi="Times New Roman"/>
          <w:b/>
          <w:sz w:val="16"/>
          <w:szCs w:val="16"/>
        </w:rPr>
        <w:t xml:space="preserve">Н</w:t>
      </w:r>
      <w:r>
        <w:rPr>
          <w:rFonts w:ascii="Times New Roman" w:hAnsi="Times New Roman"/>
          <w:b/>
          <w:sz w:val="16"/>
          <w:szCs w:val="16"/>
        </w:rPr>
      </w:r>
    </w:p>
    <w:tbl>
      <w:tblPr>
        <w:tblInd w:w="108" w:type="dxa"/>
        <w:tblW w:w="10773" w:type="dxa"/>
        <w:tblBorders/>
        <w:tblLook w:val="04A0" w:firstRow="1" w:lastRow="0" w:firstColumn="1" w:lastColumn="0" w:noHBand="0" w:noVBand="1"/>
      </w:tblPr>
      <w:tblGrid>
        <w:gridCol w:w="2835"/>
        <w:gridCol w:w="7938"/>
      </w:tblGrid>
      <w:tr>
        <w:trPr/>
        <w:tc>
          <w:tcPr>
            <w:gridSpan w:val="2"/>
            <w:tcBorders/>
            <w:tcW w:w="10773" w:type="dxa"/>
            <w:textDirection w:val="lrTb"/>
            <w:noWrap w:val="false"/>
          </w:tcPr>
          <w:p w14:paraId="04EB39B3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  <w:t xml:space="preserve">Организатор торгов</w:t>
            </w: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</w:r>
          </w:p>
        </w:tc>
      </w:tr>
      <w:tr>
        <w:trPr/>
        <w:tc>
          <w:tcPr>
            <w:gridSpan w:val="2"/>
            <w:tcBorders/>
            <w:tcW w:w="10773" w:type="dxa"/>
            <w:textDirection w:val="lrTb"/>
            <w:noWrap w:val="false"/>
          </w:tcPr>
          <w:p w14:paraId="6169E973" w14:textId="77777777">
            <w:pPr>
              <w:pStyle w:val="677"/>
              <w:pBdr/>
              <w:spacing w:after="0" w:line="240" w:lineRule="auto"/>
              <w:ind w:right="-101" w:left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Арбитражный управляющий </w:t>
            </w:r>
            <w:r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Белкин</w:t>
            </w:r>
            <w:r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 xml:space="preserve"> Андрей Геннадьевич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 w14:paraId="372DCEFF" w14:textId="77777777">
            <w:pPr>
              <w:pStyle w:val="677"/>
              <w:pBdr/>
              <w:spacing w:after="0" w:line="240" w:lineRule="auto"/>
              <w:ind w:right="-101" w:left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</w:tc>
      </w:tr>
      <w:tr>
        <w:trPr/>
        <w:tc>
          <w:tcPr>
            <w:gridSpan w:val="2"/>
            <w:tcBorders/>
            <w:tcW w:w="10773" w:type="dxa"/>
            <w:textDirection w:val="lrTb"/>
            <w:noWrap w:val="false"/>
          </w:tcPr>
          <w:p w14:paraId="68353B30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2835" w:type="dxa"/>
            <w:textDirection w:val="lrTb"/>
            <w:noWrap w:val="false"/>
          </w:tcPr>
          <w:p w14:paraId="1066EFEE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Borders>
              <w:bottom w:val="single" w:color="auto" w:sz="4" w:space="0"/>
            </w:tcBorders>
            <w:tcW w:w="7938" w:type="dxa"/>
            <w:textDirection w:val="lrTb"/>
            <w:noWrap w:val="false"/>
          </w:tcPr>
          <w:p w14:paraId="580F41B8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Белк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ин А.Г.</w:t>
            </w:r>
            <w:r>
              <w:rPr>
                <w:rFonts w:ascii="Times New Roman" w:hAnsi="Times New Roman"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</w:tc>
      </w:tr>
      <w:tr>
        <w:trPr/>
        <w:tc>
          <w:tcPr>
            <w:gridSpan w:val="2"/>
            <w:tcBorders>
              <w:top w:val="single" w:color="auto" w:sz="4" w:space="0"/>
            </w:tcBorders>
            <w:tcW w:w="10773" w:type="dxa"/>
            <w:textDirection w:val="lrTb"/>
            <w:noWrap w:val="false"/>
          </w:tcPr>
          <w:p w14:paraId="618FD0D1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r>
            <w:r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r>
          </w:p>
          <w:p w14:paraId="654ADDB5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r>
            <w:r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r>
          </w:p>
          <w:p w14:paraId="0428454B" w14:textId="77777777">
            <w:pPr>
              <w:pStyle w:val="677"/>
              <w:pBdr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  <w:t xml:space="preserve">Заявитель</w:t>
            </w: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</w:r>
          </w:p>
        </w:tc>
      </w:tr>
      <w:tr>
        <w:trPr/>
        <w:tc>
          <w:tcPr>
            <w:gridSpan w:val="2"/>
            <w:tcBorders/>
            <w:tcW w:w="10773" w:type="dxa"/>
            <w:textDirection w:val="lrTb"/>
            <w:noWrap w:val="false"/>
          </w:tcPr>
          <w:p w14:paraId="7BE9F247" w14:textId="77777777">
            <w:pPr>
              <w:pStyle w:val="677"/>
              <w:pBdr/>
              <w:spacing w:after="0" w:line="240" w:lineRule="auto"/>
              <w:ind w:right="-101" w:left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  <w:p w14:paraId="59008FDE" w14:textId="77777777">
            <w:pPr>
              <w:pStyle w:val="677"/>
              <w:pBdr/>
              <w:spacing w:after="0" w:line="240" w:lineRule="auto"/>
              <w:ind w:right="-101" w:left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  <w:p w14:paraId="059C1E14" w14:textId="77777777">
            <w:pPr>
              <w:pStyle w:val="677"/>
              <w:pBdr/>
              <w:spacing w:after="0" w:line="240" w:lineRule="auto"/>
              <w:ind w:right="-101" w:left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____________________________________________________________________________________________________________________________________</w:t>
            </w:r>
            <w:bookmarkEnd w:id="1"/>
            <w:r>
              <w:rPr>
                <w:rFonts w:ascii="Times New Roman" w:hAnsi="Times New Roman"/>
                <w:bCs/>
                <w:sz w:val="16"/>
                <w:szCs w:val="16"/>
              </w:rPr>
            </w:r>
          </w:p>
        </w:tc>
      </w:tr>
    </w:tbl>
    <w:p w14:paraId="51C00EA6" w14:textId="77777777">
      <w:pPr>
        <w:pStyle w:val="677"/>
        <w:pBdr/>
        <w:spacing w:after="0" w:line="240" w:lineRule="auto"/>
        <w:ind w:left="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sectPr>
      <w:footnotePr/>
      <w:endnotePr/>
      <w:type w:val="continuous"/>
      <w:pgSz w:h="16838" w:orient="portrait" w:w="11906"/>
      <w:pgMar w:top="142" w:right="424" w:bottom="142" w:left="70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00000000000000000"/>
  </w:font>
  <w:font w:name="Segoe UI">
    <w:panose1 w:val="020B05020201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E749ED"/>
    <w:lvl w:ilvl="0">
      <w:isLgl w:val="false"/>
      <w:lvlJc w:val="left"/>
      <w:lvlText w:val=""/>
      <w:numFmt w:val="bullet"/>
      <w:pPr>
        <w:pBdr/>
        <w:spacing/>
        <w:ind w:hanging="360" w:left="1068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1">
    <w:nsid w:val="6B08576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720"/>
      </w:pPr>
      <w:rPr>
        <w:rFonts w:hint="default"/>
        <w:b/>
        <w:bCs/>
        <w:i w:val="0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abstractNum w:abstractNumId="2">
    <w:nsid w:val="6E630863"/>
    <w:lvl w:ilvl="0">
      <w:isLgl w:val="false"/>
      <w:lvlJc w:val="left"/>
      <w:lvlText w:val="%1."/>
      <w:numFmt w:val="decimal"/>
      <w:pPr>
        <w:pBdr/>
        <w:spacing/>
        <w:ind w:hanging="945" w:left="16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3">
    <w:nsid w:val="6B08576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720"/>
      </w:pPr>
      <w:rPr>
        <w:rFonts w:hint="default"/>
        <w:b/>
        <w:bCs/>
        <w:i w:val="0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73"/>
    <w:next w:val="67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73"/>
    <w:next w:val="67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73"/>
    <w:next w:val="67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73"/>
    <w:next w:val="67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73"/>
    <w:next w:val="67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73"/>
    <w:next w:val="67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73"/>
    <w:next w:val="67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3"/>
    <w:next w:val="67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3"/>
    <w:next w:val="67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73"/>
    <w:next w:val="67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73"/>
    <w:next w:val="67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3"/>
    <w:next w:val="67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7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3"/>
    <w:next w:val="67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7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73"/>
    <w:next w:val="67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3"/>
    <w:next w:val="673"/>
    <w:uiPriority w:val="39"/>
    <w:unhideWhenUsed/>
    <w:pPr>
      <w:pBdr/>
      <w:spacing w:after="100"/>
      <w:ind/>
    </w:pPr>
  </w:style>
  <w:style w:type="paragraph" w:styleId="190">
    <w:name w:val="toc 2"/>
    <w:basedOn w:val="673"/>
    <w:next w:val="673"/>
    <w:uiPriority w:val="39"/>
    <w:unhideWhenUsed/>
    <w:pPr>
      <w:pBdr/>
      <w:spacing w:after="100"/>
      <w:ind w:left="220"/>
    </w:pPr>
  </w:style>
  <w:style w:type="paragraph" w:styleId="191">
    <w:name w:val="toc 3"/>
    <w:basedOn w:val="673"/>
    <w:next w:val="673"/>
    <w:uiPriority w:val="39"/>
    <w:unhideWhenUsed/>
    <w:pPr>
      <w:pBdr/>
      <w:spacing w:after="100"/>
      <w:ind w:left="440"/>
    </w:pPr>
  </w:style>
  <w:style w:type="paragraph" w:styleId="192">
    <w:name w:val="toc 4"/>
    <w:basedOn w:val="673"/>
    <w:next w:val="673"/>
    <w:uiPriority w:val="39"/>
    <w:unhideWhenUsed/>
    <w:pPr>
      <w:pBdr/>
      <w:spacing w:after="100"/>
      <w:ind w:left="660"/>
    </w:pPr>
  </w:style>
  <w:style w:type="paragraph" w:styleId="193">
    <w:name w:val="toc 5"/>
    <w:basedOn w:val="673"/>
    <w:next w:val="673"/>
    <w:uiPriority w:val="39"/>
    <w:unhideWhenUsed/>
    <w:pPr>
      <w:pBdr/>
      <w:spacing w:after="100"/>
      <w:ind w:left="880"/>
    </w:pPr>
  </w:style>
  <w:style w:type="paragraph" w:styleId="194">
    <w:name w:val="toc 6"/>
    <w:basedOn w:val="673"/>
    <w:next w:val="673"/>
    <w:uiPriority w:val="39"/>
    <w:unhideWhenUsed/>
    <w:pPr>
      <w:pBdr/>
      <w:spacing w:after="100"/>
      <w:ind w:left="1100"/>
    </w:pPr>
  </w:style>
  <w:style w:type="paragraph" w:styleId="195">
    <w:name w:val="toc 7"/>
    <w:basedOn w:val="673"/>
    <w:next w:val="673"/>
    <w:uiPriority w:val="39"/>
    <w:unhideWhenUsed/>
    <w:pPr>
      <w:pBdr/>
      <w:spacing w:after="100"/>
      <w:ind w:left="1320"/>
    </w:pPr>
  </w:style>
  <w:style w:type="paragraph" w:styleId="196">
    <w:name w:val="toc 8"/>
    <w:basedOn w:val="673"/>
    <w:next w:val="673"/>
    <w:uiPriority w:val="39"/>
    <w:unhideWhenUsed/>
    <w:pPr>
      <w:pBdr/>
      <w:spacing w:after="100"/>
      <w:ind w:left="1540"/>
    </w:pPr>
  </w:style>
  <w:style w:type="paragraph" w:styleId="197">
    <w:name w:val="toc 9"/>
    <w:basedOn w:val="673"/>
    <w:next w:val="67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3"/>
    <w:next w:val="673"/>
    <w:uiPriority w:val="99"/>
    <w:unhideWhenUsed/>
    <w:pPr>
      <w:pBdr/>
      <w:spacing w:after="0" w:afterAutospacing="0"/>
      <w:ind/>
    </w:pPr>
  </w:style>
  <w:style w:type="paragraph" w:styleId="673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character" w:styleId="674" w:default="1">
    <w:name w:val="Default Paragraph Font"/>
    <w:uiPriority w:val="1"/>
    <w:semiHidden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paragraph" w:styleId="677">
    <w:name w:val="List Paragraph"/>
    <w:basedOn w:val="673"/>
    <w:uiPriority w:val="34"/>
    <w:qFormat/>
    <w:pPr>
      <w:pBdr/>
      <w:spacing/>
      <w:ind w:left="720"/>
      <w:contextualSpacing w:val="true"/>
    </w:pPr>
  </w:style>
  <w:style w:type="character" w:styleId="678">
    <w:name w:val="Hyperlink"/>
    <w:uiPriority w:val="99"/>
    <w:semiHidden/>
    <w:unhideWhenUsed/>
    <w:pPr>
      <w:pBdr/>
      <w:spacing/>
      <w:ind/>
    </w:pPr>
    <w:rPr>
      <w:color w:val="0563c1"/>
      <w:u w:val="single"/>
    </w:rPr>
  </w:style>
  <w:style w:type="paragraph" w:styleId="679">
    <w:name w:val="Balloon Text"/>
    <w:basedOn w:val="673"/>
    <w:link w:val="680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680" w:customStyle="1">
    <w:name w:val="Текст выноски Знак"/>
    <w:link w:val="679"/>
    <w:uiPriority w:val="99"/>
    <w:semiHidden/>
    <w:pPr>
      <w:pBdr/>
      <w:spacing/>
      <w:ind/>
    </w:pPr>
    <w:rPr>
      <w:rFonts w:ascii="Segoe UI" w:hAnsi="Segoe UI" w:cs="Segoe UI"/>
      <w:sz w:val="18"/>
      <w:szCs w:val="18"/>
      <w:lang w:eastAsia="en-US"/>
    </w:rPr>
  </w:style>
  <w:style w:type="character" w:styleId="681">
    <w:name w:val="annotation reference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682">
    <w:name w:val="annotation text"/>
    <w:basedOn w:val="673"/>
    <w:link w:val="683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683" w:customStyle="1">
    <w:name w:val="Текст примечания Знак"/>
    <w:link w:val="682"/>
    <w:uiPriority w:val="99"/>
    <w:semiHidden/>
    <w:pPr>
      <w:pBdr/>
      <w:spacing/>
      <w:ind/>
    </w:pPr>
    <w:rPr>
      <w:lang w:eastAsia="en-US"/>
    </w:rPr>
  </w:style>
  <w:style w:type="paragraph" w:styleId="684">
    <w:name w:val="annotation subject"/>
    <w:basedOn w:val="682"/>
    <w:next w:val="682"/>
    <w:link w:val="685"/>
    <w:uiPriority w:val="99"/>
    <w:semiHidden/>
    <w:unhideWhenUsed/>
    <w:pPr>
      <w:pBdr/>
      <w:spacing/>
      <w:ind/>
    </w:pPr>
    <w:rPr>
      <w:b/>
      <w:bCs/>
    </w:rPr>
  </w:style>
  <w:style w:type="character" w:styleId="685" w:customStyle="1">
    <w:name w:val="Тема примечания Знак"/>
    <w:link w:val="684"/>
    <w:uiPriority w:val="99"/>
    <w:semiHidden/>
    <w:pPr>
      <w:pBdr/>
      <w:spacing/>
      <w:ind/>
    </w:pPr>
    <w:rPr>
      <w:b/>
      <w:bCs/>
      <w:lang w:eastAsia="en-US"/>
    </w:rPr>
  </w:style>
  <w:style w:type="table" w:styleId="686">
    <w:name w:val="Table Grid"/>
    <w:basedOn w:val="67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Кузнецов</dc:creator>
  <cp:keywords/>
  <dc:description/>
  <cp:revision>13</cp:revision>
  <dcterms:created xsi:type="dcterms:W3CDTF">2025-09-05T14:08:00Z</dcterms:created>
  <dcterms:modified xsi:type="dcterms:W3CDTF">2026-01-19T09:54:04Z</dcterms:modified>
</cp:coreProperties>
</file>