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dgm="http://schemas.openxmlformats.org/drawingml/2006/diagram">
  <w:body>
    <w:p w14:paraId="00000005">
      <w:pPr>
        <w:jc w:val="both"/>
        <w:rPr>
          <w:rStyle w:val="Emphasis"/>
        </w:rPr>
      </w:pPr>
    </w:p>
    <w:p w14:paraId="00000006">
      <w:pPr>
        <w:ind w:firstLine="540"/>
        <w:jc w:val="center"/>
        <w:rPr>
          <w:b/>
          <w:bCs/>
        </w:rPr>
      </w:pPr>
      <w:bookmarkStart w:id="0" w:name="_Hlk134194353"/>
      <w:r>
        <w:rPr>
          <w:b/>
          <w:bCs/>
        </w:rPr>
        <w:t>ДОГОВОР О ЗАДАТКЕ № _____</w:t>
      </w:r>
    </w:p>
    <w:p w14:paraId="00000007">
      <w:pPr>
        <w:ind w:firstLine="540"/>
        <w:jc w:val="both"/>
        <w:rPr/>
      </w:pPr>
    </w:p>
    <w:p w14:paraId="00000008">
      <w:pPr>
        <w:jc w:val="both"/>
        <w:rPr/>
      </w:pPr>
      <w:r>
        <w:t xml:space="preserve">г. Санкт-Петербург                                                            </w:t>
      </w:r>
      <w:r>
        <w:t xml:space="preserve">   «</w:t>
      </w:r>
      <w:r>
        <w:t>___» ______ _______ года</w:t>
      </w:r>
      <w:r>
        <w:rPr/>
        <w:br w:type="textWrapping"/>
      </w:r>
    </w:p>
    <w:p w14:paraId="00000009">
      <w:pPr>
        <w:pStyle w:val="NoSpacing"/>
        <w:jc w:val="both"/>
        <w:rPr>
          <w:rFonts w:cs="Times New Roman"/>
        </w:rPr>
      </w:pPr>
      <w:r>
        <w:rPr>
          <w:rFonts w:cs="Times New Roman"/>
        </w:rPr>
        <w:t>К</w:t>
      </w:r>
      <w:r>
        <w:rPr>
          <w:rFonts w:cs="Times New Roman"/>
        </w:rPr>
        <w:t xml:space="preserve">онкурсный управляющий </w:t>
      </w:r>
      <w:r>
        <w:rPr>
          <w:rFonts w:cs="Times New Roman"/>
        </w:rPr>
        <w:t>Слончак</w:t>
      </w:r>
      <w:r>
        <w:rPr>
          <w:rFonts w:cs="Times New Roman"/>
        </w:rPr>
        <w:t xml:space="preserve"> Валерия Игоревна (ИНН </w:t>
      </w:r>
      <w:r>
        <w:fldChar w:fldCharType="begin"/>
      </w:r>
      <w:r>
        <w:instrText xml:space="preserve">HYPERLINK "https://kartoteka.ru/card/79e0d53930bea6d33b3ad8cf6408615b/" </w:instrText>
      </w:r>
      <w:r>
        <w:fldChar w:fldCharType="separate"/>
      </w:r>
      <w:r>
        <w:rPr>
          <w:rStyle w:val="Hyperlink"/>
          <w:rFonts w:cs="Times New Roman"/>
          <w:color w:val="auto"/>
        </w:rPr>
        <w:t>631625083382</w:t>
      </w:r>
      <w:r>
        <w:fldChar w:fldCharType="end"/>
      </w:r>
      <w:r>
        <w:rPr>
          <w:rFonts w:cs="Times New Roman"/>
        </w:rPr>
        <w:t xml:space="preserve"> , СНИЛС 128-576-257 92, </w:t>
      </w:r>
      <w:r>
        <w:rPr>
          <w:rFonts w:cs="Times New Roman"/>
        </w:rPr>
        <w:t xml:space="preserve">тел </w:t>
      </w:r>
      <w:r>
        <w:rPr>
          <w:rFonts w:cs="Times New Roman"/>
        </w:rPr>
        <w:t>+79219177177</w:t>
      </w:r>
      <w:r>
        <w:rPr>
          <w:rFonts w:cs="Times New Roman"/>
        </w:rPr>
        <w:t xml:space="preserve">, </w:t>
      </w:r>
      <w:r>
        <w:fldChar w:fldCharType="begin"/>
      </w:r>
      <w:r>
        <w:instrText xml:space="preserve">HYPERLINK "mailto:abramovavi@list.ru" </w:instrText>
      </w:r>
      <w:r>
        <w:fldChar w:fldCharType="separate"/>
      </w:r>
      <w:r>
        <w:rPr>
          <w:rStyle w:val="Hyperlink"/>
          <w:rFonts w:cs="Times New Roman"/>
          <w:shd w:val="clear" w:color="auto" w:fill="ffffff"/>
        </w:rPr>
        <w:t>abramovavi@list.ru</w:t>
      </w:r>
      <w:r>
        <w:fldChar w:fldCharType="end"/>
      </w:r>
      <w:r>
        <w:rPr>
          <w:rFonts w:cs="Times New Roman"/>
          <w:color w:val="919399"/>
          <w:shd w:val="clear" w:color="auto" w:fill="ffffff"/>
        </w:rPr>
        <w:t>,</w:t>
      </w:r>
      <w:r>
        <w:rPr>
          <w:color w:val="919399"/>
          <w:sz w:val="23"/>
          <w:szCs w:val="23"/>
          <w:shd w:val="clear" w:color="auto" w:fill="ffffff"/>
        </w:rPr>
        <w:t xml:space="preserve"> </w:t>
      </w:r>
      <w:r>
        <w:rPr>
          <w:rFonts w:cs="Times New Roman"/>
        </w:rPr>
        <w:t xml:space="preserve"> </w:t>
      </w:r>
      <w:r>
        <w:rPr>
          <w:rFonts w:cs="Times New Roman"/>
        </w:rPr>
        <w:t>адрес для корреспонденции: 191025, Санкт-Петербург, а/я 12, член Ассоциации арбитражных управляющих «Содружество» (ОГРН </w:t>
      </w:r>
      <w:r>
        <w:fldChar w:fldCharType="begin"/>
      </w:r>
      <w:r>
        <w:instrText xml:space="preserve">HYPERLINK "https://kartoteka.ru/card/768c9eee75f2c71f035e150b2f2bc7e4/" </w:instrText>
      </w:r>
      <w:r>
        <w:fldChar w:fldCharType="separate"/>
      </w:r>
      <w:r>
        <w:rPr>
          <w:rStyle w:val="Hyperlink"/>
          <w:rFonts w:cs="Times New Roman"/>
          <w:color w:val="auto"/>
        </w:rPr>
        <w:t>1137800008477</w:t>
      </w:r>
      <w:r>
        <w:fldChar w:fldCharType="end"/>
      </w:r>
      <w:r>
        <w:rPr>
          <w:rFonts w:cs="Times New Roman"/>
        </w:rPr>
        <w:t> , ИНН </w:t>
      </w:r>
      <w:r>
        <w:fldChar w:fldCharType="begin"/>
      </w:r>
      <w:r>
        <w:instrText xml:space="preserve">HYPERLINK "https://kartoteka.ru/card/768c9eee75f2c71f035e150b2f2bc7e4/" </w:instrText>
      </w:r>
      <w:r>
        <w:fldChar w:fldCharType="separate"/>
      </w:r>
      <w:r>
        <w:rPr>
          <w:rStyle w:val="Hyperlink"/>
          <w:rFonts w:cs="Times New Roman"/>
          <w:color w:val="auto"/>
        </w:rPr>
        <w:t>7801351420</w:t>
      </w:r>
      <w:r>
        <w:fldChar w:fldCharType="end"/>
      </w:r>
      <w:r>
        <w:rPr>
          <w:rFonts w:cs="Times New Roman"/>
        </w:rPr>
        <w:t> , адрес:</w:t>
      </w:r>
      <w:r>
        <w:rPr>
          <w:rFonts w:cs="Times New Roman"/>
        </w:rPr>
        <w:t xml:space="preserve"> </w:t>
      </w:r>
      <w:r>
        <w:t>191124, г. Санкт-Петербург, пр. Суворовский, д. 65, лит. Б, пом. 8-Н-43</w:t>
      </w:r>
      <w:r>
        <w:rPr>
          <w:rFonts w:cs="Times New Roman"/>
        </w:rPr>
        <w:t xml:space="preserve">), </w:t>
      </w:r>
      <w:r>
        <w:rPr>
          <w:rFonts w:cs="Times New Roman"/>
        </w:rPr>
        <w:t xml:space="preserve">действующая на основании </w:t>
      </w:r>
      <w:r>
        <w:t>Решени</w:t>
      </w:r>
      <w:r>
        <w:t>я</w:t>
      </w:r>
      <w:r>
        <w:t xml:space="preserve"> Арбитражного суда города Санкт-Петербурга и Ленинградской области от 08 апреля 2021 года (Резолютивная часть решения объявлена 30 марта 2021 года) по делу №А56-13358/2020</w:t>
      </w:r>
      <w:r>
        <w:t xml:space="preserve"> </w:t>
      </w:r>
      <w:r>
        <w:rPr>
          <w:rFonts w:cs="Times New Roman"/>
        </w:rPr>
        <w:t xml:space="preserve">о </w:t>
      </w:r>
      <w:r>
        <w:rPr>
          <w:rFonts w:cs="Times New Roman"/>
        </w:rPr>
        <w:t>признан</w:t>
      </w:r>
      <w:r>
        <w:rPr>
          <w:rFonts w:cs="Times New Roman"/>
        </w:rPr>
        <w:t>ии</w:t>
      </w:r>
      <w:r>
        <w:rPr>
          <w:rFonts w:cs="Times New Roman"/>
        </w:rPr>
        <w:t xml:space="preserve"> несостоятельным (банкротом) </w:t>
      </w:r>
      <w:r>
        <w:rPr>
          <w:rFonts w:cs="Times New Roman"/>
        </w:rPr>
        <w:t>О</w:t>
      </w:r>
      <w:r>
        <w:rPr>
          <w:rFonts w:cs="Times New Roman"/>
        </w:rPr>
        <w:t xml:space="preserve">БЩЕСТВА С ОГРАНИЧЕННОЙ ОТВЕТСТВЕННОСТЬЮ </w:t>
      </w:r>
      <w:r>
        <w:rPr>
          <w:shd w:val="clear" w:color="auto" w:fill="ffffff"/>
        </w:rPr>
        <w:t>«Квартал 17 А» (187032, Ленинградская обл., Тосненский р-н, пос. Тельмана, ул. Онежская, д. 1, пом. III, литер А, офис 10; ИНН 4716020904; ОГРН 1044701894775)</w:t>
      </w:r>
      <w:r>
        <w:rPr>
          <w:rFonts w:cs="Times New Roman"/>
        </w:rPr>
        <w:t xml:space="preserve">, </w:t>
      </w:r>
      <w:r>
        <w:t>именуемая в дальнейшем «</w:t>
      </w:r>
      <w:r>
        <w:rPr>
          <w:b/>
          <w:bCs/>
        </w:rPr>
        <w:t>Организатор Торгов</w:t>
      </w:r>
      <w:r>
        <w:t>»,  с одной стороны, и</w:t>
      </w:r>
    </w:p>
    <w:p w14:paraId="0000000A">
      <w:pPr>
        <w:ind w:firstLine="540"/>
        <w:jc w:val="both"/>
        <w:rPr>
          <w:rFonts w:cs="Times New Roman"/>
        </w:rPr>
      </w:pPr>
    </w:p>
    <w:p w14:paraId="0000000B">
      <w:pPr>
        <w:ind w:firstLine="540"/>
        <w:jc w:val="both"/>
        <w:rPr/>
      </w:pPr>
      <w:r>
        <w:rPr>
          <w:b/>
          <w:bCs/>
        </w:rPr>
        <w:t>___________________________________________________________________________</w:t>
      </w:r>
      <w:r>
        <w:t>, присоединившийся к настоящему договору, именуемый в дальнейшем «</w:t>
      </w:r>
      <w:r>
        <w:rPr>
          <w:b/>
          <w:bCs/>
        </w:rPr>
        <w:t>Претендент</w:t>
      </w:r>
      <w:r>
        <w:t>»,</w:t>
      </w:r>
    </w:p>
    <w:p w14:paraId="0000000C">
      <w:pPr>
        <w:jc w:val="both"/>
        <w:rPr/>
      </w:pPr>
      <w:r>
        <w:t xml:space="preserve">претендент на участие в торгах по продаже имущества </w:t>
      </w:r>
      <w:r>
        <w:t xml:space="preserve">ООО </w:t>
      </w:r>
      <w:r>
        <w:rPr>
          <w:shd w:val="clear" w:color="auto" w:fill="ffffff"/>
        </w:rPr>
        <w:t xml:space="preserve">«Квартал 17 А» </w:t>
      </w:r>
      <w:r>
        <w:t>(именуемое в дальнейшем - Должник)</w:t>
      </w:r>
      <w:r>
        <w:t xml:space="preserve">, </w:t>
      </w:r>
      <w:r>
        <w:t>с другой стороны,</w:t>
      </w:r>
    </w:p>
    <w:p w14:paraId="0000000D">
      <w:pPr>
        <w:ind w:firstLine="540"/>
        <w:jc w:val="both"/>
        <w:rPr/>
      </w:pPr>
      <w:r>
        <w:t xml:space="preserve">именуемые совместно «Стороны», в соответствии с требованиями </w:t>
      </w:r>
      <w:r>
        <w:t>ст.ст</w:t>
      </w:r>
      <w:r>
        <w:t>. 380, 381, 428 ГК РФ, заключили настоящий Договор (далее – Договор) о нижеследующем:</w:t>
      </w:r>
    </w:p>
    <w:p w14:paraId="0000000E">
      <w:pPr>
        <w:ind w:firstLine="540"/>
        <w:jc w:val="both"/>
        <w:rPr/>
      </w:pPr>
    </w:p>
    <w:p w14:paraId="0000000F">
      <w:pPr>
        <w:jc w:val="both"/>
        <w:rPr/>
      </w:pPr>
      <w:r>
        <w:t xml:space="preserve">1. В соответствии с условиями Договора Претендент на участие в торгах по продаже имущества Должника включенного в состав Лота № </w:t>
      </w:r>
      <w:r>
        <w:t xml:space="preserve">____ </w:t>
      </w:r>
      <w:r>
        <w:t>перечисляет денежные средства в размере</w:t>
      </w:r>
    </w:p>
    <w:p w14:paraId="00000010">
      <w:pPr>
        <w:pStyle w:val="NoSpacing"/>
        <w:rPr/>
      </w:pPr>
      <w:r>
        <w:t xml:space="preserve"> _____________________________ (_________________________________) рублей ____</w:t>
      </w:r>
      <w:r>
        <w:t xml:space="preserve"> </w:t>
      </w:r>
      <w:r>
        <w:t>копейку (</w:t>
      </w:r>
      <w:r>
        <w:t>НДС</w:t>
      </w:r>
      <w:r>
        <w:t xml:space="preserve"> не облагается) (далее – «Задаток») на расчетный счет</w:t>
      </w:r>
      <w:r>
        <w:t xml:space="preserve"> организатора торгов</w:t>
      </w:r>
      <w:r>
        <w:t>, указанный в п. 1.1 Договора. Задаток обеспечивает обязательства Претендента, связанные с его участием в Торгах, в т.ч. обязательства по заключению договора купли-продажи имущества Должника и его исполнению.</w:t>
      </w:r>
    </w:p>
    <w:p w14:paraId="00000011">
      <w:pPr>
        <w:ind w:right="277" w:firstLine="284"/>
        <w:jc w:val="both"/>
        <w:rPr>
          <w:rFonts w:cs="Times New Roman"/>
        </w:rPr>
      </w:pPr>
      <w:r>
        <w:rPr>
          <w:rFonts w:cs="Times New Roman"/>
        </w:rPr>
        <w:t>1.1. Реквизиты счета для перечисления Задатка</w:t>
      </w:r>
      <w:r>
        <w:rPr>
          <w:rFonts w:cs="Times New Roman"/>
        </w:rPr>
        <w:t xml:space="preserve">: </w:t>
      </w:r>
      <w:r>
        <w:rPr>
          <w:rFonts w:cs="Times New Roman"/>
        </w:rPr>
        <w:t xml:space="preserve">счет № 40702810622550000829, Банк получателя: ПАО «БАНК УРАЛСИБ», БИК 044030706, к/с 30101810800000000706, ИНН </w:t>
      </w:r>
      <w:r>
        <w:rPr>
          <w:rFonts w:cs="Times New Roman"/>
        </w:rPr>
        <w:t xml:space="preserve">Банка </w:t>
      </w:r>
      <w:r>
        <w:rPr>
          <w:rFonts w:cs="Times New Roman"/>
        </w:rPr>
        <w:t>0274062111</w:t>
      </w:r>
      <w:r>
        <w:rPr>
          <w:rFonts w:cs="Times New Roman"/>
        </w:rPr>
        <w:t xml:space="preserve">. </w:t>
      </w:r>
      <w:r>
        <w:rPr>
          <w:rFonts w:cs="Times New Roman"/>
        </w:rPr>
        <w:t>Задаток считается внесенным с даты поступления всей суммы Задатка на данный счет.</w:t>
      </w:r>
    </w:p>
    <w:p w14:paraId="00000012">
      <w:pPr>
        <w:ind w:firstLine="540"/>
        <w:jc w:val="both"/>
        <w:rPr/>
      </w:pPr>
      <w:r>
        <w:t>3. В случае, если сумма Задатка не зачислена на расчетный счет, указанный в п. 1.1 Договора в срок, указанный в сообщении о торгах, Претендент не допускается к участию в Торгах. Представление Претендентом платежных документов с отметкой банка при этом во внимание Организатором Торгов не принимается. Документом, подтверждающим внесение Претендентом Задатка в соответствии с Договором, является банковская выписка по расчетному счету, указанному в п. 1.1 Договора.</w:t>
      </w:r>
    </w:p>
    <w:p w14:paraId="00000013">
      <w:pPr>
        <w:ind w:firstLine="540"/>
        <w:jc w:val="both"/>
        <w:rPr/>
      </w:pPr>
      <w:r>
        <w:t>4. С момента зачисления Задатка на расчетный счет, указанный в п. 1.1 Договора, Претендент не вправе требовать от Организатора Торгов возврата Задатка или его перечисления на иной счет, кроме как в указанных ниже случаях.</w:t>
      </w:r>
    </w:p>
    <w:p w14:paraId="00000014">
      <w:pPr>
        <w:ind w:firstLine="540"/>
        <w:jc w:val="both"/>
        <w:rPr/>
      </w:pPr>
      <w:r>
        <w:t>5. На денежные средства, перечисленные в соответствии с Договором, проценты не начисляются.</w:t>
      </w:r>
    </w:p>
    <w:p w14:paraId="00000015">
      <w:pPr>
        <w:ind w:firstLine="540"/>
        <w:jc w:val="both"/>
        <w:rPr/>
      </w:pPr>
      <w:r>
        <w:t>6. Исполнение обязанности по внесению Задатка третьими лицами не допускается.</w:t>
      </w:r>
    </w:p>
    <w:p w14:paraId="00000016">
      <w:pPr>
        <w:ind w:firstLine="540"/>
        <w:jc w:val="both"/>
        <w:rPr/>
      </w:pPr>
      <w:r>
        <w:t>7. Сроки возврата Задатка, внесенного Претендентом:</w:t>
      </w:r>
    </w:p>
    <w:p w14:paraId="00000017">
      <w:pPr>
        <w:ind w:firstLine="540"/>
        <w:jc w:val="both"/>
        <w:rPr/>
      </w:pPr>
      <w:r>
        <w:t>7.1. В случае если Претендент не будет допущен к участию в Торгах, Организатор Торгов обязуется возвратить сумму Задатка в течение 5 (пяти) рабочих дней с даты подписания Организатором Торгов протокола об определении участников Торгов.</w:t>
      </w:r>
    </w:p>
    <w:p w14:paraId="00000018">
      <w:pPr>
        <w:ind w:firstLine="540"/>
        <w:jc w:val="both"/>
        <w:rPr/>
      </w:pPr>
      <w:r>
        <w:t>7.2. В случае если Претендент участвовал в Торгах и не признан победителем Торгов, Организатор Торгов обязуется возвратить сумму Задатка в течение 5 (пяти) рабочих дней со дня подписания Организатором Торгов протокола о результатах проведения Торгов.</w:t>
      </w:r>
    </w:p>
    <w:p w14:paraId="00000019">
      <w:pPr>
        <w:ind w:firstLine="540"/>
        <w:jc w:val="both"/>
        <w:rPr/>
      </w:pPr>
      <w:r>
        <w:t>7.3. В случае признания Торгов несостоявшимися Организатор Торгов обязуется возвратить сумму Задатка в течение 5 (пяти) рабочих дней со дня подписания протокола о признании Торгов несостоявшимися.</w:t>
      </w:r>
    </w:p>
    <w:p w14:paraId="0000001A">
      <w:pPr>
        <w:ind w:firstLine="540"/>
        <w:jc w:val="both"/>
        <w:rPr/>
      </w:pPr>
      <w:r>
        <w:t>7.4. В случае отмены Торгов Организатор Торгов обязуется возвратить сумму Задатка в течение 5 (пяти) рабочих дней со дня принятия Организатором Торгов решения об отмене Торгов.</w:t>
      </w:r>
    </w:p>
    <w:p w14:paraId="0000001B">
      <w:pPr>
        <w:ind w:firstLine="540"/>
        <w:jc w:val="both"/>
        <w:rPr/>
      </w:pPr>
      <w:r>
        <w:t>7.5. Внесенный Задаток не возвращается в случае, если Претендент, признанный победителем Торгов, уклонится или откажется от подписания протокола о результатах проведения Торгов, заключения или исполнения договора купли-продажи предмета Торгов в срок и порядке, которые предусмотрены Федеральным законом от 26.10.2002 г. № 127-ФЗ «О несостоятельности (банкротстве)».</w:t>
      </w:r>
    </w:p>
    <w:p w14:paraId="0000001C">
      <w:pPr>
        <w:ind w:firstLine="540"/>
        <w:jc w:val="both"/>
        <w:rPr/>
      </w:pPr>
      <w:r>
        <w:t xml:space="preserve">7.6. В случае признания Претендента победителем Торгов сумма внесенного Задатка засчитывается в счет оплаты по договору купли-продажи предмета Торгов и подлежит перечислению Организатором торгов в течение 5 дней с момента подписания протокола о результатах Торгов в адрес Должника в соответствии с утвержденными условиями проведения торгов. </w:t>
      </w:r>
    </w:p>
    <w:p w14:paraId="0000001D">
      <w:pPr>
        <w:ind w:firstLine="540"/>
        <w:jc w:val="both"/>
        <w:rPr/>
      </w:pPr>
      <w:r>
        <w:t>8. В случаях, предусмотренных Договором, Организатор Торгов возвращает Претенденту Задаток путем перечисления его суммы на расчетный счет Претендента, указанный в п. 12 Договора.</w:t>
      </w:r>
    </w:p>
    <w:p w14:paraId="0000001E">
      <w:pPr>
        <w:ind w:firstLine="540"/>
        <w:jc w:val="both"/>
        <w:rPr/>
      </w:pPr>
      <w:r>
        <w:t>9. Все возможные споры и разногласия, связанные с исполнением Договора, будут разрешаться Сторонами путем переговоров. В случае невозможности разрешения споров и разногласий путем переговоров они подлежат рассмотрению в арбитражном суде или в суде общей юрисдикции в соответствии с их компетенцией по месту нахождения Организатора Торгов.</w:t>
      </w:r>
    </w:p>
    <w:p w14:paraId="0000001F">
      <w:pPr>
        <w:ind w:firstLine="540"/>
        <w:jc w:val="both"/>
        <w:rPr/>
      </w:pPr>
      <w:r>
        <w:t>10. Договор составлен в двух экземплярах, по одному для каждой из Сторон.</w:t>
      </w:r>
    </w:p>
    <w:p w14:paraId="00000020">
      <w:pPr>
        <w:ind w:firstLine="540"/>
        <w:jc w:val="both"/>
        <w:rPr/>
      </w:pPr>
      <w:r>
        <w:t>11. Договор вступает в силу с момента его подписания Претендентом.</w:t>
      </w:r>
    </w:p>
    <w:p w14:paraId="00000021">
      <w:pPr>
        <w:ind w:firstLine="540"/>
        <w:jc w:val="both"/>
        <w:rPr/>
      </w:pPr>
      <w:r>
        <w:t>12. Адреса, реквизиты и подписи Сторон:</w:t>
      </w:r>
    </w:p>
    <w:p w14:paraId="00000022">
      <w:pPr>
        <w:ind w:firstLine="540"/>
        <w:jc w:val="both"/>
        <w:rPr/>
      </w:pPr>
    </w:p>
    <w:p w14:paraId="00000023">
      <w:pPr>
        <w:ind w:firstLine="540"/>
        <w:jc w:val="both"/>
        <w:rPr>
          <w:b/>
          <w:bCs/>
        </w:rPr>
      </w:pPr>
    </w:p>
    <w:tbl>
      <w:tblPr>
        <w:tblStyle w:val="TableNormal"/>
        <w:tblW w:w="9828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ced7e7"/>
        <w:tblLayout w:type="fixed"/>
        <w:tblLook w:val="04A0"/>
      </w:tblPr>
      <w:tblGrid>
        <w:gridCol w:w="4968"/>
        <w:gridCol w:w="4860"/>
      </w:tblGrid>
      <w:tr>
        <w:trPr>
          <w:trHeight w:val="4025"/>
        </w:trPr>
        <w:tc>
          <w:tcPr>
            <w:cnfStyle w:val="101000000000"/>
            <w:tcW w:w="496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0000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ОРГАНИЗАТОР ТОРГОВ</w:t>
            </w:r>
          </w:p>
          <w:p w14:paraId="00000025">
            <w:pPr>
              <w:jc w:val="center"/>
              <w:rPr>
                <w:b/>
                <w:bCs/>
              </w:rPr>
            </w:pPr>
          </w:p>
          <w:p w14:paraId="00000026">
            <w:pPr>
              <w:jc w:val="both"/>
              <w:rPr/>
            </w:pPr>
            <w:r>
              <w:t xml:space="preserve">Конкурсный управляющий ООО «Квартал 17 А» </w:t>
            </w:r>
            <w:r>
              <w:t>Слончак</w:t>
            </w:r>
            <w:r>
              <w:t xml:space="preserve"> Валерия Игоревна</w:t>
            </w:r>
          </w:p>
          <w:p w14:paraId="00000027">
            <w:pPr>
              <w:jc w:val="both"/>
              <w:rPr>
                <w:b/>
                <w:bCs/>
              </w:rPr>
            </w:pPr>
          </w:p>
          <w:p w14:paraId="00000028">
            <w:pPr>
              <w:pStyle w:val="Body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rPr>
                <w:rFonts w:ascii="Times New Roman" w:cs="Times New Roman" w:hAnsi="Times New Roman"/>
                <w:sz w:val="24"/>
                <w:szCs w:val="24"/>
              </w:rPr>
            </w:pPr>
            <w:bookmarkStart w:id="1" w:name="_Hlk134194054"/>
            <w:r>
              <w:rPr>
                <w:rFonts w:ascii="Times New Roman" w:cs="Times New Roman" w:hAnsi="Times New Roman"/>
                <w:sz w:val="24"/>
                <w:szCs w:val="24"/>
              </w:rPr>
              <w:t>Наименование ОБЩЕСТВО С ОГРАНИЧЕННОЙ ОТВЕТСТВЕННОСТЬЮ "КВАРТАЛ 17 А"</w:t>
            </w:r>
          </w:p>
          <w:p w14:paraId="00000029">
            <w:pPr>
              <w:pStyle w:val="Body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Адрес 187032, обл Ленинградская, р-н Тосненский, п Тельмана, ул Онежская, д. 1, лит/пом/офис</w:t>
            </w:r>
          </w:p>
          <w:p w14:paraId="0000002A">
            <w:pPr>
              <w:pStyle w:val="Body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ИНН(КИО) 4716020904</w:t>
            </w:r>
          </w:p>
          <w:p w14:paraId="0000002B">
            <w:pPr>
              <w:pStyle w:val="Body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КПП 471601001</w:t>
            </w:r>
          </w:p>
          <w:p w14:paraId="0000002C">
            <w:pPr>
              <w:pStyle w:val="Body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Номер счета 40702810622550000829</w:t>
            </w:r>
          </w:p>
          <w:p w14:paraId="0000002D">
            <w:pPr>
              <w:pStyle w:val="Body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Валюта счета Российский рубль</w:t>
            </w:r>
          </w:p>
          <w:p w14:paraId="0000002E">
            <w:pPr>
              <w:pStyle w:val="Body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Банк ФИЛИАЛ ПАО "БАНК УРАЛСИБ" В Г.САНКТ-ПЕТЕРБУРГ</w:t>
            </w:r>
          </w:p>
          <w:p w14:paraId="0000002F">
            <w:pPr>
              <w:pStyle w:val="Body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БИК 044030706</w:t>
            </w:r>
          </w:p>
          <w:p w14:paraId="00000030">
            <w:pPr>
              <w:pStyle w:val="Body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Корреспондентский счет 30101810800000000706 в Северо-Западном ГУ (г. Санкт-Петербург) Банка России</w:t>
            </w:r>
          </w:p>
          <w:p w14:paraId="00000031">
            <w:pPr>
              <w:pStyle w:val="Body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rPr>
                <w:rFonts w:ascii="Times New Roman" w:cs="Times New Roman" w:hAnsi="Times New Roman"/>
                <w:sz w:val="24"/>
                <w:szCs w:val="24"/>
              </w:rPr>
            </w:pPr>
          </w:p>
          <w:p w14:paraId="00000032">
            <w:pPr>
              <w:pStyle w:val="Body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rPr>
                <w:rFonts w:ascii="Times New Roman" w:cs="Times New Roman" w:hAnsi="Times New Roman"/>
                <w:shd w:val="clear" w:color="auto" w:fill="ffffff"/>
              </w:rPr>
            </w:pPr>
            <w:bookmarkEnd w:id="1"/>
          </w:p>
          <w:p w14:paraId="00000033">
            <w:pPr>
              <w:pStyle w:val="Body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rPr>
                <w:rFonts w:ascii="Times New Roman" w:cs="Times New Roman" w:hAnsi="Times New Roman"/>
                <w:shd w:val="clear" w:color="auto" w:fill="ffffff"/>
              </w:rPr>
            </w:pPr>
          </w:p>
          <w:p w14:paraId="00000034">
            <w:pPr>
              <w:pStyle w:val="BodyTex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rPr/>
            </w:pPr>
            <w:r>
              <w:rPr>
                <w:rFonts w:ascii="Times New Roman" w:cs="Times New Roman" w:hAnsi="Times New Roman"/>
                <w:shd w:val="clear" w:color="auto" w:fill="ffffff"/>
              </w:rPr>
              <w:t xml:space="preserve">____________________ </w:t>
            </w:r>
            <w:r>
              <w:rPr>
                <w:rFonts w:ascii="Times New Roman" w:cs="Times New Roman" w:hAnsi="Times New Roman"/>
                <w:shd w:val="clear" w:color="auto" w:fill="ffffff"/>
              </w:rPr>
              <w:t xml:space="preserve">В.И. </w:t>
            </w:r>
            <w:r>
              <w:rPr>
                <w:rFonts w:ascii="Times New Roman" w:cs="Times New Roman" w:hAnsi="Times New Roman"/>
                <w:shd w:val="clear" w:color="auto" w:fill="ffffff"/>
              </w:rPr>
              <w:t>Слончак</w:t>
            </w:r>
          </w:p>
        </w:tc>
        <w:tc>
          <w:tcPr>
            <w:cnfStyle w:val="100000000000"/>
            <w:tcW w:w="48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00003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ПРЕТЕНДЕНТ:</w:t>
            </w:r>
          </w:p>
          <w:p w14:paraId="00000036">
            <w:pPr>
              <w:jc w:val="both"/>
              <w:rPr/>
            </w:pPr>
          </w:p>
        </w:tc>
      </w:tr>
    </w:tbl>
    <w:p w14:paraId="00000037">
      <w:pPr>
        <w:widowControl w:val="off"/>
        <w:jc w:val="both"/>
        <w:rPr/>
      </w:pPr>
      <w:bookmarkEnd w:id="0"/>
    </w:p>
    <w:sectPr>
      <w:headerReference w:type="default" r:id="rId14"/>
      <w:footerReference w:type="default" r:id="rId15"/>
      <w:pgSz w:w="11900" w:h="16840"/>
      <w:pgMar w:top="851" w:right="851" w:bottom="851" w:left="1418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dgm="http://schemas.openxmlformats.org/drawingml/2006/diagram">
  <w:endnote w:type="separator" w:id="0">
    <w:p w14:paraId="00000003">
      <w:r>
        <w:rPr/>
        <w:separator/>
      </w:r>
    </w:p>
  </w:endnote>
  <w:endnote w:type="continuationSeparator" w:id="1">
    <w:p w14:paraId="00000004">
      <w:r>
        <w:rPr/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00000000" w:usb1="00000000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roman"/>
    <w:pitch w:val="variable"/>
    <w:sig w:usb0="61002a87" w:usb1="80000000" w:usb2="00000008" w:usb3="00000000" w:csb0="000001ff" w:csb1="00000000"/>
  </w:font>
  <w:font w:name="Verdana">
    <w:panose1 w:val="020b0604030504040204"/>
    <w:charset w:val="00"/>
    <w:family w:val="roman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notTrueType w:val="on"/>
    <w:pitch w:val="variable"/>
  </w:font>
  <w:font w:name="Wingdings">
    <w:panose1 w:val="05000000000000000000"/>
    <w:charset w:val="02"/>
    <w:family w:val="auto"/>
    <w:notTrueType w:val="on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dgm="http://schemas.openxmlformats.org/drawingml/2006/diagram">
  <w:p w14:paraId="00000039">
    <w:pPr>
      <w:pStyle w:val="Footer"/>
      <w:rPr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dgm="http://schemas.openxmlformats.org/drawingml/2006/diagram">
  <w:footnote w:type="separator" w:id="0">
    <w:p w14:paraId="00000001">
      <w:r>
        <w:rPr/>
        <w:separator/>
      </w:r>
    </w:p>
  </w:footnote>
  <w:footnote w:type="continuationSeparator" w:id="1">
    <w:p w14:paraId="00000002">
      <w:r>
        <w:rPr/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dgm="http://schemas.openxmlformats.org/drawingml/2006/diagram">
  <w:p w14:paraId="00000038">
    <w:pPr>
      <w:pStyle w:val="Колонтитулы"/>
      <w:rPr/>
    </w:pPr>
    <w:r>
      <w:rPr/>
      <mc:AlternateContent>
        <mc:Choice Requires="wps">
          <w:drawing xmlns:mc="http://schemas.openxmlformats.org/markup-compatibility/2006">
            <wp:anchor allowOverlap="1" behindDoc="1" distT="152400" distB="152400" distL="152400" distR="152400" layoutInCell="1" locked="0" relativeHeight="251656192" simplePos="0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56500" cy="10693400"/>
              <wp:effectExtent l="0" t="0" r="0" b="0"/>
              <wp:wrapNone/>
              <wp:docPr id="1073741827" name="officeArt object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Pr id="1073741825" name="officeArt object"/>
                    <wps:cNvSpPr/>
                    <wps:spPr>
                      <a:xfrm>
                        <a:off x="0" y="0"/>
                        <a:ext cx="7556500" cy="10693400"/>
                      </a:xfrm>
                      <a:prstGeom prst="roundRect">
                        <a:avLst>
                          <a:gd name="adj" fmla="val 0"/>
                        </a:avLst>
                      </a:prstGeom>
                      <a:solidFill>
                        <a:srgbClr val="FFFFF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 id="64D2FCF5-EE32-DF3F-9A2AAEA4121A" adj="0" coordsize="21600,21600" style="position:absolute;width:595pt;height:842pt;margin-top:0pt;margin-left:0pt;mso-wrap-distance-left:12pt;mso-wrap-distance-right:12pt;mso-wrap-distance-top:12pt;mso-wrap-distance-bottom:12pt;mso-position-horizontal-relative:page;mso-position-vertical-relative:page;rotation:0.000000;z-index:251656192;" fillcolor="#ffffff" stroked="f" o:spt="2" path="m0,0 l21600,0 l21600,21600 l0,21600 x e">
              <w10:wrap side="both"/>
              <v:fill type="solid" color="#ffffff" opacity="1.000000"/>
              <o:lock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1331"/>
    <w:rsid w:val="00051CE7"/>
    <w:rsid w:val="00086061"/>
    <w:rsid w:val="00091B2A"/>
    <w:rsid w:val="000E2D30"/>
    <w:rsid w:val="00105A09"/>
    <w:rsid w:val="00176344"/>
    <w:rsid w:val="001B5437"/>
    <w:rsid w:val="001D11DA"/>
    <w:rsid w:val="002B472A"/>
    <w:rsid w:val="0032773F"/>
    <w:rsid w:val="003733BE"/>
    <w:rsid w:val="00387206"/>
    <w:rsid w:val="003B03FD"/>
    <w:rsid w:val="003E1A75"/>
    <w:rsid w:val="004524F9"/>
    <w:rsid w:val="00507516"/>
    <w:rsid w:val="00561AC9"/>
    <w:rsid w:val="0061776F"/>
    <w:rsid w:val="00627D9E"/>
    <w:rsid w:val="006341FE"/>
    <w:rsid w:val="00644DBC"/>
    <w:rsid w:val="006964D7"/>
    <w:rsid w:val="006A10D7"/>
    <w:rsid w:val="006B2620"/>
    <w:rsid w:val="00747042"/>
    <w:rsid w:val="00751E64"/>
    <w:rsid w:val="00800EFB"/>
    <w:rsid w:val="00855D07"/>
    <w:rsid w:val="008658EF"/>
    <w:rsid w:val="00875A70"/>
    <w:rsid w:val="008957CA"/>
    <w:rsid w:val="008B0509"/>
    <w:rsid w:val="008F0432"/>
    <w:rsid w:val="00973EC8"/>
    <w:rsid w:val="00993F50"/>
    <w:rsid w:val="009C38F3"/>
    <w:rsid w:val="009C3F69"/>
    <w:rsid w:val="009C6092"/>
    <w:rsid w:val="009D0097"/>
    <w:rsid w:val="009F362F"/>
    <w:rsid w:val="00A104BA"/>
    <w:rsid w:val="00A61F18"/>
    <w:rsid w:val="00A73E1E"/>
    <w:rsid w:val="00B04610"/>
    <w:rsid w:val="00B14F67"/>
    <w:rsid w:val="00BC6005"/>
    <w:rsid w:val="00C05715"/>
    <w:rsid w:val="00C76379"/>
    <w:rsid w:val="00CB3106"/>
    <w:rsid w:val="00CF112D"/>
    <w:rsid w:val="00D262E0"/>
    <w:rsid w:val="00D44BDC"/>
    <w:rsid w:val="00D61331"/>
    <w:rsid w:val="00D74FEB"/>
    <w:rsid w:val="00DB5E83"/>
    <w:rsid w:val="00DE7C25"/>
    <w:rsid w:val="00F2296F"/>
    <w:rsid w:val="00FD2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E8A96A"/>
  <w15:docId w15:val="{9335E856-CC24-4C6D-9158-5AF1A7E022D2}"/>
  <w:footnotePr>
    <w:footnote w:id="0"/>
    <w:footnote w:id="1"/>
  </w:footnotePr>
  <w:endnotePr>
    <w:endnote w:id="0"/>
    <w:endnote w:id="1"/>
  </w:endnotePr>
  <w:trackRevisions w:val="off"/>
  <w:displayBackgroundShape w:val="on"/>
</w:settings>
</file>

<file path=word/styles.xml><?xml version="1.0" encoding="utf-8"?>
<w:styles xmlns:r="http://schemas.openxmlformats.org/officeDocument/2006/relationships" xmlns:w14="http://schemas.microsoft.com/office/word/2010/wordml" xmlns:w="http://schemas.openxmlformats.org/wordprocessingml/2006/main">
  <w:docDefaults>
    <w:rPrDefault>
      <w:rPr>
        <w:rFonts w:ascii="Times New Roman" w:cs="Times New Roman" w:eastAsia="Arial Unicode MS" w:hAnsi="Times New Roman"/>
        <w:bdr w:val="nil" w:sz="4" w:space="0"/>
        <w:lang w:val="ru-RU" w:bidi="ar-SA" w:eastAsia="ru-RU"/>
      </w:rPr>
    </w:rPrDefault>
    <w:pPrDefault>
      <w:pPr>
        <w:pBdr>
          <w:top w:val="nil" w:sz="4" w:space="0"/>
          <w:left w:val="nil" w:sz="4" w:space="0"/>
          <w:bottom w:val="nil" w:sz="4" w:space="0"/>
          <w:right w:val="nil" w:sz="4" w:space="0"/>
          <w:between w:val="nil" w:sz="4" w:space="0"/>
          <w:bar w:val="nil" w:sz="4" w:space="0"/>
        </w:pBdr>
      </w:pPr>
    </w:pPrDefault>
  </w:docDefaults>
  <w:style w:type="paragraph" w:styleId="Heading1">
    <w:name w:val="Heading 1"/>
    <w:link w:val="Heading1Char"/>
    <w:uiPriority w:val="9"/>
    <w:qFormat w:val="on"/>
    <w:pPr>
      <w:keepNext w:val="on"/>
      <w:keepLines w:val="on"/>
      <w:spacing w:before="480" w:after="0"/>
    </w:pPr>
    <w:rPr>
      <w:rFonts w:asciiTheme="majorHAnsi" w:cstheme="majorBidi" w:eastAsiaTheme="majorEastAsia" w:hAnsiTheme="majorHAnsi"/>
      <w:b/>
      <w:bCs/>
      <w:color w:val="376091" w:themeColor="accent1" w:themeShade="bf"/>
      <w:sz w:val="28"/>
      <w:szCs w:val="28"/>
    </w:rPr>
  </w:style>
  <w:style w:type="paragraph" w:styleId="Heading2">
    <w:name w:val="Heading 2"/>
    <w:link w:val="Heading2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Heading3">
    <w:name w:val="Heading 3"/>
    <w:link w:val="Heading3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f81bd" w:themeColor="accent1"/>
    </w:rPr>
  </w:style>
  <w:style w:type="paragraph" w:styleId="Heading4">
    <w:name w:val="Heading 4"/>
    <w:link w:val="Heading4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i/>
      <w:iCs/>
      <w:color w:val="4f81bd" w:themeColor="accent1"/>
    </w:rPr>
  </w:style>
  <w:style w:type="paragraph" w:styleId="Heading5">
    <w:name w:val="Heading 5"/>
    <w:link w:val="Heading5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243f60" w:themeColor="accent1" w:themeShade="7f"/>
    </w:rPr>
  </w:style>
  <w:style w:type="paragraph" w:styleId="Heading6">
    <w:name w:val="Heading 6"/>
    <w:link w:val="Heading6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243f60" w:themeColor="accent1" w:themeShade="7f"/>
    </w:rPr>
  </w:style>
  <w:style w:type="paragraph" w:styleId="Heading7">
    <w:name w:val="Heading 7"/>
    <w:link w:val="Heading7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paragraph" w:styleId="Heading8">
    <w:name w:val="Heading 8"/>
    <w:link w:val="Heading8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paragraph" w:styleId="Heading9">
    <w:name w:val="Heading 9"/>
    <w:link w:val="Heading9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customStyle="1" w:styleId="Heading1Char">
    <w:name w:val="Heading 1 Char"/>
    <w:link w:val="Heading1"/>
    <w:uiPriority w:val="9"/>
    <w:rPr>
      <w:rFonts w:asciiTheme="majorHAnsi" w:cstheme="majorBidi" w:eastAsiaTheme="majorEastAsia" w:hAnsiTheme="majorHAnsi"/>
      <w:b/>
      <w:bCs/>
      <w:color w:val="376091" w:themeColor="accent1" w:themeShade="bf"/>
      <w:sz w:val="28"/>
      <w:szCs w:val="28"/>
    </w:rPr>
  </w:style>
  <w:style w:type="character" w:customStyle="1" w:styleId="Heading2Char">
    <w:name w:val="Heading 2 Char"/>
    <w:link w:val="Heading2"/>
    <w:uiPriority w:val="9"/>
    <w:rPr>
      <w:rFonts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link w:val="Heading3"/>
    <w:uiPriority w:val="9"/>
    <w:rPr>
      <w:rFonts w:asciiTheme="majorHAnsi" w:cstheme="majorBidi" w:eastAsiaTheme="majorEastAsia" w:hAnsiTheme="majorHAnsi"/>
      <w:b/>
      <w:bCs/>
      <w:color w:val="4f81bd" w:themeColor="accent1"/>
    </w:rPr>
  </w:style>
  <w:style w:type="character" w:customStyle="1" w:styleId="Heading4Char">
    <w:name w:val="Heading 4 Char"/>
    <w:link w:val="Heading4"/>
    <w:uiPriority w:val="9"/>
    <w:rPr>
      <w:rFonts w:asciiTheme="majorHAnsi" w:cstheme="majorBidi" w:eastAsiaTheme="majorEastAsia" w:hAnsiTheme="majorHAnsi"/>
      <w:b/>
      <w:bCs/>
      <w:i/>
      <w:iCs/>
      <w:color w:val="4f81bd" w:themeColor="accent1"/>
    </w:rPr>
  </w:style>
  <w:style w:type="character" w:customStyle="1" w:styleId="Heading5Char">
    <w:name w:val="Heading 5 Char"/>
    <w:link w:val="Heading5"/>
    <w:uiPriority w:val="9"/>
    <w:rPr>
      <w:rFonts w:asciiTheme="majorHAnsi" w:cstheme="majorBidi" w:eastAsiaTheme="majorEastAsia" w:hAnsiTheme="majorHAnsi"/>
      <w:color w:val="243f60" w:themeColor="accent1" w:themeShade="7f"/>
    </w:rPr>
  </w:style>
  <w:style w:type="character" w:customStyle="1" w:styleId="Heading6Char">
    <w:name w:val="Heading 6 Char"/>
    <w:link w:val="Heading6"/>
    <w:uiPriority w:val="9"/>
    <w:rPr>
      <w:rFonts w:asciiTheme="majorHAnsi" w:cstheme="majorBidi" w:eastAsiaTheme="majorEastAsia" w:hAnsiTheme="majorHAnsi"/>
      <w:i/>
      <w:iCs/>
      <w:color w:val="243f60" w:themeColor="accent1" w:themeShade="7f"/>
    </w:rPr>
  </w:style>
  <w:style w:type="character" w:customStyle="1" w:styleId="Heading7Char">
    <w:name w:val="Heading 7 Char"/>
    <w:link w:val="Heading7"/>
    <w:uiPriority w:val="9"/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character" w:customStyle="1" w:styleId="Heading8Char">
    <w:name w:val="Heading 8 Char"/>
    <w:link w:val="Heading8"/>
    <w:uiPriority w:val="9"/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character" w:customStyle="1" w:styleId="Heading9Char">
    <w:name w:val="Heading 9 Char"/>
    <w:link w:val="Heading9"/>
    <w:uiPriority w:val="9"/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paragraph" w:styleId="Title">
    <w:name w:val="Title"/>
    <w:link w:val="TitleChar"/>
    <w:uiPriority w:val="10"/>
    <w:qFormat w:val="on"/>
    <w:pPr>
      <w:pBdr>
        <w:bottom w:val="single" w:color="4f81bd" w:themeColor="accent1" w:sz="8" w:space="4"/>
      </w:pBdr>
      <w:spacing w:after="300" w:line="240" w:lineRule="auto"/>
      <w:contextualSpacing w:val="on"/>
    </w:pPr>
    <w:rPr>
      <w:rFonts w:asciiTheme="majorHAnsi" w:cstheme="majorBidi" w:eastAsiaTheme="majorEastAsia" w:hAnsiTheme="majorHAnsi"/>
      <w:color w:val="7d7d7d" w:themeColor="text2" w:themeShade="bf"/>
      <w:spacing w:val="5"/>
      <w:sz w:val="52"/>
      <w:szCs w:val="52"/>
    </w:rPr>
  </w:style>
  <w:style w:type="character" w:customStyle="1" w:styleId="TitleChar">
    <w:name w:val="Title Char"/>
    <w:link w:val="Title"/>
    <w:uiPriority w:val="10"/>
    <w:rPr>
      <w:rFonts w:asciiTheme="majorHAnsi" w:cstheme="majorBidi" w:eastAsiaTheme="majorEastAsia" w:hAnsiTheme="majorHAnsi"/>
      <w:color w:val="7d7d7d" w:themeColor="text2" w:themeShade="bf"/>
      <w:spacing w:val="5"/>
      <w:sz w:val="52"/>
      <w:szCs w:val="52"/>
    </w:rPr>
  </w:style>
  <w:style w:type="paragraph" w:styleId="Subtitle">
    <w:name w:val="Subtitle"/>
    <w:link w:val="SubtitleChar"/>
    <w:uiPriority w:val="11"/>
    <w:qFormat w:val="on"/>
    <w:pPr/>
    <w:rPr>
      <w:rFonts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link w:val="Subtitle"/>
    <w:uiPriority w:val="11"/>
    <w:rPr>
      <w:rFonts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styleId="SubtleEmphasis">
    <w:name w:val="Subtle Emphasis"/>
    <w:uiPriority w:val="19"/>
    <w:qFormat w:val="on"/>
    <w:rPr>
      <w:i/>
      <w:iCs/>
      <w:color w:val="808080" w:themeColor="text1" w:themeTint="7f"/>
    </w:rPr>
  </w:style>
  <w:style w:type="character" w:styleId="IntenseEmphasis">
    <w:name w:val="Intense Emphasis"/>
    <w:uiPriority w:val="21"/>
    <w:qFormat w:val="on"/>
    <w:rPr>
      <w:b/>
      <w:bCs/>
      <w:i/>
      <w:iCs/>
      <w:color w:val="4f81bd" w:themeColor="accent1"/>
    </w:rPr>
  </w:style>
  <w:style w:type="character" w:styleId="Strong">
    <w:name w:val="Strong"/>
    <w:uiPriority w:val="22"/>
    <w:qFormat w:val="on"/>
    <w:rPr>
      <w:b/>
      <w:bCs/>
    </w:rPr>
  </w:style>
  <w:style w:type="paragraph" w:styleId="Quote">
    <w:name w:val="Quote"/>
    <w:link w:val="QuoteChar"/>
    <w:uiPriority w:val="29"/>
    <w:qFormat w:val="on"/>
    <w:rPr>
      <w:i/>
      <w:iCs/>
      <w:color w:val="000000" w:themeColor="text1"/>
    </w:rPr>
  </w:style>
  <w:style w:type="character" w:customStyle="1" w:styleId="QuoteChar">
    <w:name w:val="Quote Char"/>
    <w:link w:val="Quote"/>
    <w:uiPriority w:val="29"/>
    <w:rPr>
      <w:i/>
      <w:iCs/>
      <w:color w:val="000000" w:themeColor="text1"/>
    </w:rPr>
  </w:style>
  <w:style w:type="paragraph" w:styleId="IntenseQuote">
    <w:name w:val="Intense Quote"/>
    <w:link w:val="IntenseQuoteChar"/>
    <w:uiPriority w:val="30"/>
    <w:qFormat w:val="on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link w:val="IntenseQuote"/>
    <w:uiPriority w:val="30"/>
    <w:rPr>
      <w:b/>
      <w:bCs/>
      <w:i/>
      <w:iCs/>
      <w:color w:val="4f81bd" w:themeColor="accent1"/>
    </w:rPr>
  </w:style>
  <w:style w:type="character" w:styleId="SubtleReference">
    <w:name w:val="Subtle Reference"/>
    <w:uiPriority w:val="31"/>
    <w:qFormat w:val="on"/>
    <w:rPr>
      <w:smallCaps/>
      <w:color w:val="c0504d" w:themeColor="accent2"/>
      <w:u w:val="single"/>
    </w:rPr>
  </w:style>
  <w:style w:type="character" w:styleId="IntenseReference">
    <w:name w:val="Intense Reference"/>
    <w:uiPriority w:val="32"/>
    <w:qFormat w:val="on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uiPriority w:val="33"/>
    <w:qFormat w:val="on"/>
    <w:rPr>
      <w:b/>
      <w:bCs/>
      <w:smallCaps/>
      <w:spacing w:val="5"/>
    </w:rPr>
  </w:style>
  <w:style w:type="paragraph" w:styleId="Footnotetext">
    <w:name w:val="Footnote text"/>
    <w:link w:val="Foot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 w:val="on"/>
    <w:rPr>
      <w:sz w:val="20"/>
      <w:szCs w:val="20"/>
    </w:rPr>
  </w:style>
  <w:style w:type="character" w:styleId="Footnotereference">
    <w:name w:val="Footnote reference"/>
    <w:uiPriority w:val="99"/>
    <w:semiHidden w:val="on"/>
    <w:unhideWhenUsed w:val="on"/>
    <w:rPr>
      <w:vertAlign w:val="superscript"/>
    </w:rPr>
  </w:style>
  <w:style w:type="paragraph" w:styleId="Endnotetext">
    <w:name w:val="Endnote text"/>
    <w:link w:val="End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 w:val="on"/>
    <w:rPr>
      <w:sz w:val="20"/>
      <w:szCs w:val="20"/>
    </w:rPr>
  </w:style>
  <w:style w:type="character" w:styleId="Endnotereference">
    <w:name w:val="Endnote reference"/>
    <w:uiPriority w:val="99"/>
    <w:semiHidden w:val="on"/>
    <w:unhideWhenUsed w:val="on"/>
    <w:rPr>
      <w:vertAlign w:val="superscript"/>
    </w:rPr>
  </w:style>
  <w:style w:type="paragraph" w:styleId="PlainText">
    <w:name w:val="Plain Text"/>
    <w:link w:val="PlainTextChar"/>
    <w:uiPriority w:val="99"/>
    <w:semiHidden w:val="on"/>
    <w:unhideWhenUsed w:val="on"/>
    <w:pPr>
      <w:spacing w:after="0" w:line="240" w:lineRule="auto"/>
    </w:pPr>
    <w:rPr>
      <w:rFonts w:ascii="Courier New" w:cs="Courier New" w:hAnsi="Courier New"/>
      <w:sz w:val="21"/>
      <w:szCs w:val="21"/>
    </w:rPr>
  </w:style>
  <w:style w:type="character" w:customStyle="1" w:styleId="PlainTextChar">
    <w:name w:val="Plain Text Char"/>
    <w:link w:val="PlainText"/>
    <w:uiPriority w:val="99"/>
    <w:rPr>
      <w:rFonts w:ascii="Courier New" w:cs="Courier New" w:hAnsi="Courier New"/>
      <w:sz w:val="21"/>
      <w:szCs w:val="21"/>
    </w:rPr>
  </w:style>
  <w:style w:type="paragraph" w:styleId="Header">
    <w:name w:val="Header"/>
    <w:link w:val="HeaderChar"/>
    <w:uiPriority w:val="99"/>
    <w:unhideWhenUsed w:val="on"/>
    <w:pPr>
      <w:spacing w:after="0" w:line="240" w:lineRule="auto"/>
    </w:pPr>
  </w:style>
  <w:style w:type="character" w:customStyle="1" w:styleId="HeaderChar">
    <w:name w:val="Header Char"/>
    <w:link w:val="Header"/>
    <w:uiPriority w:val="99"/>
  </w:style>
  <w:style w:type="character" w:customStyle="1" w:styleId="FooterChar">
    <w:name w:val="Footer Char"/>
    <w:uiPriority w:val="99"/>
  </w:style>
  <w:style w:type="paragraph" w:styleId="Caption">
    <w:name w:val="Caption"/>
    <w:uiPriority w:val="35"/>
    <w:unhideWhenUsed w:val="on"/>
    <w:qFormat w:val="on"/>
    <w:pPr>
      <w:spacing w:after="200" w:line="240" w:lineRule="auto"/>
    </w:pPr>
    <w:rPr>
      <w:i/>
      <w:iCs/>
      <w:color w:val="a7a7a7" w:themeColor="text2"/>
      <w:sz w:val="18"/>
      <w:szCs w:val="18"/>
    </w:rPr>
  </w:style>
  <w:style w:type="paragraph" w:default="1" w:styleId="Normal">
    <w:name w:val="Normal"/>
    <w:uiPriority w:val="99"/>
    <w:qFormat w:val="on"/>
    <w:pPr/>
    <w:rPr>
      <w:rFonts w:cs="Arial Unicode MS"/>
      <w:color w:val="000000"/>
      <w:sz w:val="24"/>
      <w:szCs w:val="24"/>
    </w:rPr>
  </w:style>
  <w:style w:type="character" w:default="1" w:styleId="DefaultParagraphFont">
    <w:name w:val="Default Paragraph Font"/>
    <w:uiPriority w:val="1"/>
    <w:semiHidden w:val="on"/>
    <w:unhideWhenUsed w:val="on"/>
  </w:style>
  <w:style w:type="table" w:default="1" w:styleId="NormalTable">
    <w:name w:val="Normal Table"/>
    <w:uiPriority w:val="99"/>
    <w:semiHidden w:val="on"/>
    <w:unhideWhenUsed w:val="on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 w:val="on"/>
    <w:unhideWhenUsed w:val="on"/>
  </w:style>
  <w:style w:type="character" w:styleId="Hyperlink">
    <w:name w:val="Hyperlink"/>
    <w:uiPriority w:val="99"/>
    <w:rPr>
      <w:u w:val="single"/>
    </w:rPr>
  </w:style>
  <w:style w:type="table" w:customStyle="1" w:styleId="TableNormal">
    <w:name w:val="Table Normal"/>
    <w:uiPriority w:val="9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Колонтитулы">
    <w:name w:val="Колонтитулы"/>
    <w:uiPriority w:val="99"/>
    <w:pPr>
      <w:tabs>
        <w:tab w:val="right" w:pos="9020"/>
      </w:tabs>
    </w:pPr>
    <w:rPr>
      <w:rFonts w:ascii="Helvetica Neue" w:cs="Arial Unicode MS" w:hAnsi="Helvetica Neue"/>
      <w:color w:val="000000"/>
      <w:sz w:val="24"/>
      <w:szCs w:val="24"/>
    </w:rPr>
  </w:style>
  <w:style w:type="paragraph" w:styleId="Footer">
    <w:name w:val="Footer"/>
    <w:uiPriority w:val="99"/>
    <w:pPr>
      <w:tabs>
        <w:tab w:val="center" w:pos="4677"/>
        <w:tab w:val="right" w:pos="9355"/>
      </w:tabs>
    </w:pPr>
    <w:rPr>
      <w:rFonts w:cs="Arial Unicode MS"/>
      <w:color w:val="000000"/>
      <w:sz w:val="24"/>
      <w:szCs w:val="24"/>
    </w:rPr>
  </w:style>
  <w:style w:type="paragraph" w:styleId="BodyText">
    <w:name w:val="Body Text"/>
    <w:uiPriority w:val="99"/>
    <w:rPr>
      <w:rFonts w:ascii="Helvetica Neue" w:cs="Arial Unicode MS" w:hAnsi="Helvetica Neue"/>
      <w:color w:val="000000"/>
      <w:sz w:val="22"/>
      <w:szCs w:val="22"/>
    </w:rPr>
  </w:style>
  <w:style w:type="character" w:styleId="Emphasis">
    <w:name w:val="Emphasis"/>
    <w:basedOn w:val="DefaultParagraphFont"/>
    <w:uiPriority w:val="20"/>
    <w:qFormat w:val="on"/>
    <w:rPr>
      <w:i/>
      <w:iCs/>
    </w:rPr>
  </w:style>
  <w:style w:type="paragraph" w:styleId="NoSpacing">
    <w:name w:val="No Spacing"/>
    <w:uiPriority w:val="1"/>
    <w:qFormat w:val="on"/>
    <w:pPr/>
    <w:rPr>
      <w:rFonts w:cs="Arial Unicode MS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 w:val="on"/>
    <w:pPr>
      <w:ind w:left="720"/>
      <w:contextualSpacing w:val="o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4" Type="http://schemas.openxmlformats.org/officeDocument/2006/relationships/header" Target="header1.xml"/><Relationship Id="rId15" Type="http://schemas.openxmlformats.org/officeDocument/2006/relationships/footer" Target="footer1.xml"/><Relationship Id="rId2" Type="http://schemas.openxmlformats.org/officeDocument/2006/relationships/settings" Target="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3" Type="http://schemas.openxmlformats.org/officeDocument/2006/relationships/webSettings" Target="webSettings.xml"/><Relationship Id="rId6" Type="http://schemas.openxmlformats.org/officeDocument/2006/relationships/hyperlink" Target="https://kartoteka.ru/card/79e0d53930bea6d33b3ad8cf6408615b/" TargetMode="External"/><Relationship Id="rId7" Type="http://schemas.openxmlformats.org/officeDocument/2006/relationships/hyperlink" Target="mailto:abramovavi@list.ru" TargetMode="External"/><Relationship Id="rId8" Type="http://schemas.openxmlformats.org/officeDocument/2006/relationships/hyperlink" Target="https://kartoteka.ru/card/768c9eee75f2c71f035e150b2f2bc7e4/" TargetMode="External"/><Relationship Id="rId9" Type="http://schemas.openxmlformats.org/officeDocument/2006/relationships/hyperlink" Target="https://kartoteka.ru/card/768c9eee75f2c71f035e150b2f2bc7e4/" TargetMode="External"/></Relationships>
</file>

<file path=word/_rels/endnotes.xml.rels><?xml version="1.0" encoding="UTF-8" standalone="yes"?>
<Relationships xmlns="http://schemas.openxmlformats.org/package/2006/relationships"></Relationships>
</file>

<file path=word/_rels/footer1.xml.rels><?xml version="1.0" encoding="UTF-8" standalone="yes"?>
<Relationships xmlns="http://schemas.openxmlformats.org/package/2006/relationships"></Relationships>
</file>

<file path=word/_rels/footnotes.xml.rels><?xml version="1.0" encoding="UTF-8" standalone="yes"?>
<Relationships xmlns="http://schemas.openxmlformats.org/package/2006/relationships"></Relationships>
</file>

<file path=word/_rels/header1.xml.rels><?xml version="1.0" encoding="UTF-8" standalone="yes"?>
<Relationships xmlns="http://schemas.openxmlformats.org/package/2006/relationships"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Helvetica Neue"/>
        <a:ea typeface="Helvetica Neue"/>
        <a:cs typeface="Helvetica Neue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"/>
        <a:font script="Olck" typeface="Nirmala UI"/>
        <a:font script="Lisu" typeface="Segoe UI"/>
        <a:font script="Sora" typeface="Nirmala U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925</Words>
  <Characters>5276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катерина бородко</dc:creator>
  <cp:lastModifiedBy>Author</cp:lastModifiedBy>
</cp:coreProperties>
</file>