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ackground w:color="FFFFFF"/>
  <w:body>
    <w:p>
      <w:pPr>
        <w:pStyle w:val="Normal"/>
        <w:spacing w:before="100" w:after="100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>ДОГОВОР</w:t>
      </w:r>
    </w:p>
    <w:p>
      <w:pPr>
        <w:pStyle w:val="Normal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 xml:space="preserve">купли – продажи </w:t>
      </w:r>
    </w:p>
    <w:p>
      <w:pPr>
        <w:pStyle w:val="Normal"/>
        <w:jc w:val="center"/>
        <w:rPr>
          <w:rFonts w:eastAsia="Times New Roman"/>
          <w:b/>
          <w:b/>
          <w:sz w:val="23"/>
          <w:szCs w:val="23"/>
        </w:rPr>
      </w:pPr>
      <w:r>
        <w:rPr>
          <w:rFonts w:eastAsia="Times New Roman"/>
          <w:b/>
          <w:sz w:val="23"/>
          <w:szCs w:val="23"/>
        </w:rPr>
        <w:t xml:space="preserve">   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pacing w:val="-4"/>
          <w:sz w:val="22"/>
          <w:szCs w:val="22"/>
        </w:rPr>
        <w:t>Сармановский м.р.</w:t>
        <w:tab/>
        <w:t xml:space="preserve">                                                                         </w:t>
      </w:r>
      <w:r>
        <w:rPr>
          <w:rFonts w:eastAsia="Arial" w:cs="Courier New"/>
          <w:color w:val="auto"/>
          <w:spacing w:val="-4"/>
          <w:kern w:val="2"/>
          <w:sz w:val="22"/>
          <w:szCs w:val="22"/>
          <w:lang w:val="ru-RU" w:eastAsia="zh-CN" w:bidi="hi-IN"/>
        </w:rPr>
        <w:t>\</w:t>
      </w:r>
      <w:r>
        <w:rPr>
          <w:color w:val="auto"/>
          <w:spacing w:val="13"/>
          <w:sz w:val="22"/>
          <w:szCs w:val="22"/>
        </w:rPr>
        <w:tab/>
      </w:r>
      <w:r>
        <w:rPr>
          <w:color w:val="auto"/>
          <w:spacing w:val="-4"/>
          <w:sz w:val="22"/>
          <w:szCs w:val="22"/>
          <w:lang w:eastAsia="ru-RU"/>
        </w:rPr>
        <w:t>«</w:t>
      </w:r>
      <w:r>
        <w:rPr>
          <w:color w:val="auto"/>
          <w:spacing w:val="-4"/>
          <w:sz w:val="22"/>
          <w:szCs w:val="22"/>
        </w:rPr>
        <w:t>___</w:t>
      </w:r>
      <w:r>
        <w:rPr>
          <w:color w:val="auto"/>
          <w:spacing w:val="-4"/>
          <w:sz w:val="22"/>
          <w:szCs w:val="22"/>
          <w:lang w:eastAsia="ru-RU"/>
        </w:rPr>
        <w:t xml:space="preserve">» </w:t>
      </w:r>
      <w:r>
        <w:rPr>
          <w:color w:val="auto"/>
          <w:spacing w:val="-4"/>
          <w:sz w:val="22"/>
          <w:szCs w:val="22"/>
        </w:rPr>
        <w:t>________</w:t>
      </w:r>
      <w:r>
        <w:rPr>
          <w:color w:val="auto"/>
          <w:spacing w:val="-4"/>
          <w:sz w:val="22"/>
          <w:szCs w:val="22"/>
          <w:lang w:eastAsia="ru-RU"/>
        </w:rPr>
        <w:t xml:space="preserve"> 2021</w:t>
      </w:r>
      <w:r>
        <w:rPr>
          <w:color w:val="auto"/>
          <w:spacing w:val="-4"/>
          <w:sz w:val="22"/>
          <w:szCs w:val="22"/>
        </w:rPr>
        <w:t xml:space="preserve"> </w:t>
      </w:r>
      <w:r>
        <w:rPr>
          <w:color w:val="auto"/>
          <w:spacing w:val="-4"/>
          <w:sz w:val="22"/>
          <w:szCs w:val="22"/>
          <w:lang w:eastAsia="ru-RU"/>
        </w:rPr>
        <w:t>г.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auto"/>
          <w:spacing w:val="-4"/>
          <w:sz w:val="22"/>
          <w:szCs w:val="22"/>
          <w:lang w:eastAsia="ru-RU"/>
        </w:rPr>
      </w:pPr>
      <w:r>
        <w:rPr>
          <w:color w:val="auto"/>
          <w:spacing w:val="-4"/>
          <w:sz w:val="22"/>
          <w:szCs w:val="22"/>
          <w:lang w:eastAsia="ru-RU"/>
        </w:rPr>
      </w:r>
    </w:p>
    <w:p>
      <w:pPr>
        <w:pStyle w:val="Normal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b w:val="false"/>
          <w:bCs/>
          <w:i w:val="false"/>
          <w:caps w:val="false"/>
          <w:smallCaps w:val="false"/>
          <w:color w:val="auto"/>
          <w:spacing w:val="13"/>
          <w:sz w:val="22"/>
          <w:szCs w:val="22"/>
        </w:rPr>
        <w:tab/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Гражданин РФ, Мухаметдинова Гульназ Феликсовна (07.02.1975г.р, место рожд:с. Карашай-Салково, Сарманского р-на, адрес рег: Республика Татарстан, Сармановский р-н, д. Каташ-Каран, ул. Ленина,д.4 ИНН 163602484130, СНИЛС 051-780-296-58), в лице финансового управляющего Шуховцева Данила Михайловича, действующего на основании решения Арбитражного суда Республики Татарстан от 17.02.2020г. по делу № А65-37876/2019  </w:t>
      </w:r>
      <w:r>
        <w:rPr>
          <w:color w:val="auto"/>
          <w:sz w:val="22"/>
          <w:szCs w:val="22"/>
        </w:rPr>
        <w:t xml:space="preserve">с одной стороны и </w:t>
      </w:r>
    </w:p>
    <w:p>
      <w:pPr>
        <w:pStyle w:val="Normal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 xml:space="preserve">______________________________________________________________________________________________________________________________________________________________________, именуемый в дальнейшем "Покупатель", с другой стороны, заключили настоящий договор о нижеследующем: </w:t>
      </w:r>
    </w:p>
    <w:p>
      <w:pPr>
        <w:pStyle w:val="Normal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Style19"/>
        <w:numPr>
          <w:ilvl w:val="0"/>
          <w:numId w:val="2"/>
        </w:numPr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Предмет договора</w:t>
      </w:r>
    </w:p>
    <w:p>
      <w:pPr>
        <w:pStyle w:val="Style19"/>
        <w:spacing w:before="0" w:after="0"/>
        <w:ind w:left="0" w:hanging="0"/>
        <w:jc w:val="center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Style19"/>
        <w:numPr>
          <w:ilvl w:val="1"/>
          <w:numId w:val="2"/>
        </w:numPr>
        <w:spacing w:before="0" w:after="0"/>
        <w:ind w:left="0" w:hanging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Продавец обязуется передать, а Покупатель принять и оплатить следующее Имущество:</w:t>
      </w:r>
    </w:p>
    <w:p>
      <w:pPr>
        <w:pStyle w:val="Style19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tbl>
      <w:tblPr>
        <w:tblW w:w="10226" w:type="dxa"/>
        <w:jc w:val="left"/>
        <w:tblInd w:w="274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51"/>
        <w:gridCol w:w="5426"/>
        <w:gridCol w:w="2249"/>
      </w:tblGrid>
      <w:tr>
        <w:trPr>
          <w:trHeight w:val="704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№</w:t>
            </w:r>
            <w:r>
              <w:rPr>
                <w:rFonts w:eastAsia="Times New Roman"/>
                <w:b/>
                <w:color w:val="auto"/>
                <w:sz w:val="22"/>
                <w:szCs w:val="22"/>
              </w:rPr>
              <w:t xml:space="preserve"> </w:t>
            </w:r>
            <w:r>
              <w:rPr>
                <w:b/>
                <w:color w:val="auto"/>
                <w:sz w:val="22"/>
                <w:szCs w:val="22"/>
              </w:rPr>
              <w:t>п/п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both"/>
              <w:rPr>
                <w:sz w:val="23"/>
                <w:szCs w:val="23"/>
              </w:rPr>
            </w:pPr>
            <w:r>
              <w:rPr>
                <w:color w:val="auto"/>
                <w:sz w:val="22"/>
                <w:szCs w:val="22"/>
              </w:rPr>
              <w:t xml:space="preserve">Лот </w:t>
            </w:r>
            <w:r>
              <w:rPr>
                <w:rFonts w:eastAsia="Arial" w:cs="Courier New"/>
                <w:color w:val="auto"/>
                <w:kern w:val="0"/>
                <w:sz w:val="22"/>
                <w:szCs w:val="22"/>
                <w:lang w:val="ru-RU" w:eastAsia="zh-CN" w:bidi="hi-IN"/>
              </w:rPr>
              <w:t>2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1/352 доли в праве собственности на земельный участок, назначение: для сельскохозяйственного производства, площадью 25 354 600 кв.м, кадастровый номер 16:36:000000:222, по адресу: Республика Татарстан, Сармановский муниципальный район, тер. СХПК «Марс», Паевые земли, 222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141 000,00</w:t>
              <w:br/>
            </w:r>
          </w:p>
        </w:tc>
      </w:tr>
      <w:tr>
        <w:trPr>
          <w:trHeight w:val="488" w:hRule="atLeast"/>
        </w:trPr>
        <w:tc>
          <w:tcPr>
            <w:tcW w:w="7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b/>
                <w:b/>
              </w:rPr>
            </w:pPr>
            <w:r>
              <w:rPr>
                <w:b/>
                <w:color w:val="auto"/>
                <w:sz w:val="22"/>
                <w:szCs w:val="22"/>
              </w:rPr>
              <w:t>Итого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141 000,00</w:t>
            </w:r>
          </w:p>
        </w:tc>
      </w:tr>
    </w:tbl>
    <w:p>
      <w:pPr>
        <w:pStyle w:val="Style19"/>
        <w:spacing w:before="0" w:after="0"/>
        <w:jc w:val="both"/>
        <w:rPr>
          <w:rFonts w:ascii="Times New Roman" w:hAnsi="Times New Roman"/>
          <w:color w:val="auto"/>
          <w:sz w:val="22"/>
          <w:szCs w:val="22"/>
          <w:lang w:val="en-US"/>
        </w:rPr>
      </w:pPr>
      <w:r>
        <w:rPr>
          <w:color w:val="auto"/>
          <w:sz w:val="22"/>
          <w:szCs w:val="22"/>
          <w:lang w:val="en-US"/>
        </w:rPr>
      </w:r>
    </w:p>
    <w:p>
      <w:pPr>
        <w:pStyle w:val="NormalWeb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2. Цена и порядок расчётов</w:t>
      </w:r>
    </w:p>
    <w:p>
      <w:pPr>
        <w:pStyle w:val="NormalWeb"/>
        <w:spacing w:before="0" w:after="0"/>
        <w:jc w:val="center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Web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2.1. Общая стоимость имущества, указанного в п. 1.1. настоящего договора, составляет </w:t>
      </w:r>
      <w:r>
        <w:rPr>
          <w:b/>
          <w:bCs/>
          <w:color w:val="auto"/>
          <w:sz w:val="22"/>
          <w:szCs w:val="22"/>
        </w:rPr>
        <w:t>141 000,00 рублей  коп</w:t>
      </w:r>
      <w:r>
        <w:rPr>
          <w:color w:val="auto"/>
          <w:sz w:val="22"/>
          <w:szCs w:val="22"/>
        </w:rPr>
        <w:t xml:space="preserve">., без НДС. Задаток в сумме </w:t>
      </w:r>
      <w:r>
        <w:rPr>
          <w:rFonts w:eastAsia="Times New Roman" w:cs="Courier New"/>
          <w:b/>
          <w:bCs/>
          <w:color w:val="auto"/>
          <w:kern w:val="0"/>
          <w:sz w:val="22"/>
          <w:szCs w:val="22"/>
          <w:lang w:val="ru-RU" w:eastAsia="zh-CN" w:bidi="hi-IN"/>
        </w:rPr>
        <w:t>14 100</w:t>
      </w:r>
      <w:r>
        <w:rPr>
          <w:b/>
          <w:bCs/>
          <w:color w:val="auto"/>
          <w:sz w:val="22"/>
          <w:szCs w:val="22"/>
        </w:rPr>
        <w:t xml:space="preserve"> рублей 00 коп.</w:t>
      </w:r>
      <w:r>
        <w:rPr>
          <w:b/>
          <w:bCs/>
          <w:color w:val="auto"/>
          <w:spacing w:val="5"/>
          <w:sz w:val="22"/>
          <w:szCs w:val="22"/>
        </w:rPr>
        <w:t>,</w:t>
      </w:r>
      <w:r>
        <w:rPr>
          <w:color w:val="auto"/>
          <w:sz w:val="22"/>
          <w:szCs w:val="22"/>
        </w:rPr>
        <w:t xml:space="preserve">, перечисленный Покупателем по Договору о задатке № __ от ___________________г, засчитывается в счет оплаты Имущества. За вычетом суммы задатка Покупатель должен уплатить _________________________ (_____________________________________) руб. __ коп.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2.2. Оплата стоимости имущества в размере, установленном п. 2. 1. настоящего договора, должна быть произведена Покупателем в течение 30 (тридцати) дней с момента подписания настоящего договора.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2.3. Оплата производится Покупателем путем перечисления денежных средств на расчетный счет Продавца по указанным в договоре банковским реквизитам.</w:t>
      </w:r>
    </w:p>
    <w:p>
      <w:pPr>
        <w:pStyle w:val="Style15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3. Права и обязанности сторон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bCs/>
          <w:color w:val="auto"/>
          <w:sz w:val="22"/>
          <w:szCs w:val="22"/>
        </w:rPr>
        <w:t xml:space="preserve">3.1. Продавец обязан: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 xml:space="preserve">3.1.1. Передать Имущество в течение </w:t>
      </w:r>
      <w:r>
        <w:rPr>
          <w:rFonts w:eastAsia="Times New Roman" w:cs="Courier New"/>
          <w:color w:val="auto"/>
          <w:kern w:val="0"/>
          <w:sz w:val="22"/>
          <w:szCs w:val="22"/>
          <w:lang w:val="ru-RU" w:eastAsia="zh-CN" w:bidi="hi-IN"/>
        </w:rPr>
        <w:t>3</w:t>
      </w:r>
      <w:r>
        <w:rPr>
          <w:color w:val="auto"/>
          <w:sz w:val="22"/>
          <w:szCs w:val="22"/>
        </w:rPr>
        <w:t>0 (десяти) дней после полной оплаты Имущества Покупателем. Передача оформляется Актом приема-передачи, который с момента его подписания сторонами является неотъемлемой частью настоящего договора.</w:t>
      </w:r>
    </w:p>
    <w:p>
      <w:pPr>
        <w:pStyle w:val="Normal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3.1.2. Вместе с передачей имущества, продавец передает имеющуюся техническую и иную документацию, необходимую эксплуатации имущества. Покупатель обязуется принять Имущество и документацию.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bCs/>
          <w:color w:val="auto"/>
          <w:sz w:val="22"/>
          <w:szCs w:val="22"/>
        </w:rPr>
        <w:t xml:space="preserve">3.2. Покупатель обязан: 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bCs/>
          <w:color w:val="auto"/>
          <w:sz w:val="22"/>
          <w:szCs w:val="22"/>
        </w:rPr>
        <w:t xml:space="preserve">3.2.1. </w:t>
      </w:r>
      <w:r>
        <w:rPr>
          <w:color w:val="auto"/>
          <w:sz w:val="22"/>
          <w:szCs w:val="22"/>
        </w:rPr>
        <w:t xml:space="preserve">Принять Имущество </w:t>
      </w:r>
      <w:r>
        <w:rPr>
          <w:bCs/>
          <w:color w:val="auto"/>
          <w:sz w:val="22"/>
          <w:szCs w:val="22"/>
        </w:rPr>
        <w:t xml:space="preserve">на </w:t>
      </w:r>
      <w:r>
        <w:rPr>
          <w:color w:val="auto"/>
          <w:sz w:val="22"/>
          <w:szCs w:val="22"/>
        </w:rPr>
        <w:t xml:space="preserve">условиях, предусмотренных настоящим договором.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3.2.2. Оплатить стоимость Имущества в соответствии с условиями настоящего договора.</w:t>
      </w:r>
    </w:p>
    <w:p>
      <w:pPr>
        <w:pStyle w:val="Style15"/>
        <w:spacing w:before="0" w:after="0"/>
        <w:ind w:left="360" w:hanging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4. Срок действия договора</w:t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4.1. Настоящий договор действует со дня его подписания сторонами до выполнения сторонами обязательств по договору.</w:t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4.2. Окончание срока действия настоящего договора не освобождает стороны от ответственности за нарушение условий договора.</w:t>
      </w:r>
    </w:p>
    <w:p>
      <w:pPr>
        <w:pStyle w:val="Style15"/>
        <w:spacing w:before="0" w:after="0"/>
        <w:ind w:firstLine="72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5. Порядок изменения и расторжения договора. Разрешение споров</w:t>
      </w:r>
    </w:p>
    <w:p>
      <w:pPr>
        <w:pStyle w:val="Style15"/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5.1. Настоящий договор заключается в простой письменной форме.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auto"/>
          <w:sz w:val="22"/>
          <w:szCs w:val="22"/>
        </w:rPr>
        <w:t xml:space="preserve">5.2. Содержание ст.ст. 209, 223, 423, 452, 460, 475, 552, 556, 557 ГК </w:t>
      </w:r>
      <w:r>
        <w:rPr>
          <w:bCs/>
          <w:color w:val="auto"/>
          <w:sz w:val="22"/>
          <w:szCs w:val="22"/>
        </w:rPr>
        <w:t>РФ сторонам известно.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 xml:space="preserve">5.3. Настоящий договор содержит весь объем соглашений между сторонами в Отношении предмета настоящего договора, отменяет и делает недействительными все другие обязательства или представления, которые могли быть приняты или сделаны сторонами, будь то в устной или письменной форме, до заключения настоящего договора.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 xml:space="preserve">5.4. Стороны не несут ответственности за задержку исполнения своих обязательств, если она вызвана причинами, не зависящими от них.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 xml:space="preserve">5.5. Взаимоотношения сторон, не урегулированные настоящим договором, регулируются действующим законодательством РФ. </w:t>
      </w:r>
    </w:p>
    <w:p>
      <w:pPr>
        <w:pStyle w:val="Style15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6. Прочие условия</w:t>
      </w:r>
    </w:p>
    <w:p>
      <w:pPr>
        <w:pStyle w:val="Style15"/>
        <w:spacing w:before="0" w:after="0"/>
        <w:jc w:val="center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6.1. Настоящий договор составлен и заключен в двух экземплярах, имеющих равную юридическую силу, один - Покупателю, один – Продавцу.</w:t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6.2. Приложением к настоящему договору является акт приема-передачи Имущества.</w:t>
      </w:r>
    </w:p>
    <w:p>
      <w:pPr>
        <w:pStyle w:val="Style15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Style20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sz w:val="23"/>
          <w:szCs w:val="23"/>
        </w:rPr>
      </w:pPr>
      <w:r>
        <w:rPr>
          <w:rFonts w:cs="Times New Roman" w:ascii="Times New Roman" w:hAnsi="Times New Roman"/>
          <w:b/>
          <w:color w:val="auto"/>
          <w:sz w:val="22"/>
          <w:szCs w:val="22"/>
        </w:rPr>
        <w:t>7. Реквизиты и подписи сторон</w:t>
      </w:r>
    </w:p>
    <w:p>
      <w:pPr>
        <w:pStyle w:val="Style20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color w:val="auto"/>
          <w:sz w:val="22"/>
          <w:szCs w:val="22"/>
        </w:rPr>
      </w:pPr>
      <w:r>
        <w:rPr>
          <w:rFonts w:cs="Times New Roman" w:ascii="Times New Roman" w:hAnsi="Times New Roman"/>
          <w:b/>
          <w:color w:val="auto"/>
          <w:sz w:val="22"/>
          <w:szCs w:val="22"/>
        </w:rPr>
      </w:r>
    </w:p>
    <w:p>
      <w:pPr>
        <w:pStyle w:val="Normal"/>
        <w:rPr>
          <w:rFonts w:ascii="Times New Roman" w:hAnsi="Times New Roman" w:cs="Times New Roman"/>
          <w:b/>
          <w:b/>
          <w:color w:val="auto"/>
          <w:sz w:val="22"/>
          <w:szCs w:val="22"/>
        </w:rPr>
      </w:pPr>
      <w:r>
        <w:rPr>
          <w:rFonts w:cs="Times New Roman"/>
          <w:b/>
          <w:color w:val="auto"/>
          <w:sz w:val="22"/>
          <w:szCs w:val="22"/>
        </w:rPr>
      </w:r>
    </w:p>
    <w:p>
      <w:pPr>
        <w:sectPr>
          <w:type w:val="nextPage"/>
          <w:pgSz w:w="11906" w:h="16838"/>
          <w:pgMar w:left="1134" w:right="746" w:header="0" w:top="719" w:footer="0" w:bottom="899" w:gutter="0"/>
          <w:pgNumType w:fmt="decimal"/>
          <w:formProt w:val="false"/>
          <w:textDirection w:val="lrTb"/>
          <w:docGrid w:type="default" w:linePitch="360" w:charSpace="0"/>
        </w:sectPr>
      </w:pPr>
    </w:p>
    <w:p>
      <w:pPr>
        <w:pStyle w:val="Style15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/>
          <w:bCs/>
          <w:color w:val="auto"/>
          <w:sz w:val="22"/>
          <w:szCs w:val="22"/>
        </w:rPr>
        <w:t xml:space="preserve"> </w:t>
      </w:r>
      <w:r>
        <w:rPr>
          <w:b/>
          <w:bCs/>
          <w:color w:val="auto"/>
          <w:sz w:val="22"/>
          <w:szCs w:val="22"/>
        </w:rPr>
        <w:t>Продавец: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aps w:val="false"/>
          <w:smallCaps w:val="false"/>
          <w:color w:val="auto"/>
          <w:spacing w:val="0"/>
          <w:sz w:val="22"/>
          <w:szCs w:val="22"/>
        </w:rPr>
        <w:t xml:space="preserve">Финансовый управляющий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 Мухаметдиновой Гульназ Феликсовны </w:t>
      </w:r>
      <w:r>
        <w:rPr>
          <w:caps w:val="false"/>
          <w:smallCaps w:val="false"/>
          <w:color w:val="auto"/>
          <w:spacing w:val="0"/>
          <w:sz w:val="22"/>
          <w:szCs w:val="22"/>
        </w:rPr>
        <w:t>Шуховцев Данил Михайлович,</w:t>
      </w:r>
      <w:r>
        <w:rPr>
          <w:bCs/>
          <w:caps w:val="false"/>
          <w:smallCaps w:val="false"/>
          <w:color w:val="auto"/>
          <w:spacing w:val="0"/>
          <w:sz w:val="22"/>
          <w:szCs w:val="22"/>
        </w:rPr>
        <w:t xml:space="preserve"> </w:t>
      </w:r>
      <w:r>
        <w:rPr>
          <w:caps w:val="false"/>
          <w:smallCaps w:val="false"/>
          <w:color w:val="auto"/>
          <w:spacing w:val="0"/>
          <w:sz w:val="22"/>
          <w:szCs w:val="22"/>
        </w:rPr>
        <w:t xml:space="preserve">действующий на основании решения  Республики Татарстан от 17.02.2020г. по делу № А65-37876/2019 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bCs/>
          <w:color w:val="auto"/>
          <w:sz w:val="22"/>
          <w:szCs w:val="22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eastAsia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>Получатель:</w:t>
      </w:r>
      <w:r>
        <w:rPr>
          <w:rFonts w:eastAsia="Times New Roman"/>
          <w:b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 </w:t>
      </w:r>
      <w:r>
        <w:rPr>
          <w:rFonts w:eastAsia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Арбитражный управляющий Шуховцев Данил Михайлович (ИНН 744720766087)</w:t>
      </w:r>
      <w:r>
        <w:rPr>
          <w:rFonts w:eastAsia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br/>
      </w:r>
      <w:r>
        <w:rPr>
          <w:rFonts w:eastAsia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р/с 40802810872000059338 Наименование Банка ЧЕЛЯБИНСКОЕ ОТДЕЛЕНИЕ N8597 ПАО СБЕРБАНК Адрес ВСП г. Челябинск, пр. Комсомольский, 70в, БИК 047501602, К/С 30101810700000000602</w:t>
      </w:r>
      <w:r>
        <w:rPr>
          <w:rFonts w:eastAsia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/>
          <w:b/>
          <w:bCs/>
          <w:color w:val="auto"/>
          <w:spacing w:val="-2"/>
          <w:sz w:val="22"/>
          <w:szCs w:val="22"/>
        </w:rPr>
        <w:t>Шуховцев Д.М.   _________________________</w:t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 w:eastAsia="Times New Roman"/>
          <w:bCs/>
          <w:color w:val="auto"/>
          <w:spacing w:val="-2"/>
          <w:sz w:val="22"/>
          <w:szCs w:val="22"/>
        </w:rPr>
      </w:pPr>
      <w:r>
        <w:rPr>
          <w:rFonts w:eastAsia="Times New Roman"/>
          <w:bCs/>
          <w:color w:val="auto"/>
          <w:spacing w:val="-2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rPr>
          <w:rFonts w:ascii="Times New Roman" w:hAnsi="Times New Roman"/>
          <w:color w:val="000000"/>
          <w:sz w:val="22"/>
          <w:szCs w:val="22"/>
        </w:rPr>
      </w:pPr>
      <w:r>
        <w:rPr>
          <w:b/>
          <w:color w:val="auto"/>
          <w:sz w:val="22"/>
          <w:szCs w:val="22"/>
        </w:rPr>
        <w:t>Покупатель:</w:t>
      </w:r>
    </w:p>
    <w:p>
      <w:pPr>
        <w:pStyle w:val="Normal"/>
        <w:rPr>
          <w:rFonts w:eastAsia="SimSun;宋体" w:cs="Times New Roman"/>
          <w:b/>
          <w:b/>
          <w:sz w:val="23"/>
          <w:szCs w:val="23"/>
          <w:lang w:bidi="ar-SA"/>
        </w:rPr>
      </w:pPr>
      <w:r>
        <w:rPr>
          <w:rFonts w:eastAsia="SimSun;宋体" w:cs="Times New Roman"/>
          <w:b/>
          <w:color w:val="auto"/>
          <w:sz w:val="22"/>
          <w:szCs w:val="22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Normal"/>
        <w:widowControl w:val="false"/>
        <w:bidi w:val="0"/>
        <w:spacing w:before="100" w:after="100"/>
        <w:jc w:val="left"/>
        <w:rPr>
          <w:rFonts w:ascii="Times New Roman" w:hAnsi="Times New Roman"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  <w:t>______________________________________________________________________________________________________________________________</w:t>
      </w:r>
    </w:p>
    <w:sectPr>
      <w:type w:val="continuous"/>
      <w:pgSz w:w="11906" w:h="16838"/>
      <w:pgMar w:left="1134" w:right="746" w:header="0" w:top="719" w:footer="0" w:bottom="899" w:gutter="0"/>
      <w:cols w:num="2" w:space="282" w:equalWidth="true" w:sep="false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Arial">
    <w:charset w:val="cc"/>
    <w:family w:val="roman"/>
    <w:pitch w:val="variable"/>
  </w:font>
  <w:font w:name="Tahoma"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1"/>
      <w:numFmt w:val="none"/>
      <w:suff w:val="nothing"/>
      <w:lvlText w:val=""/>
      <w:lvlJc w:val="left"/>
      <w:pPr>
        <w:ind w:left="0" w:hanging="0"/>
      </w:pPr>
    </w:lvl>
    <w:lvl w:ilvl="1">
      <w:start w:val="1"/>
      <w:pStyle w:val="2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ind w:left="405" w:hanging="405"/>
      </w:pPr>
      <w:rPr>
        <w:sz w:val="23"/>
        <w:b/>
        <w:szCs w:val="23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sz w:val="23"/>
        <w:szCs w:val="23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sz w:val="23"/>
        <w:szCs w:val="23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sz w:val="23"/>
        <w:szCs w:val="23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sz w:val="23"/>
        <w:szCs w:val="23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sz w:val="23"/>
        <w:szCs w:val="23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sz w:val="23"/>
        <w:szCs w:val="23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sz w:val="23"/>
        <w:szCs w:val="23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sz w:val="23"/>
        <w:szCs w:val="23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isplayBackgroundShape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szCs w:val="24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 w:val="false"/>
      <w:suppressAutoHyphens w:val="true"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0"/>
      <w:sz w:val="24"/>
      <w:szCs w:val="24"/>
      <w:lang w:val="ru-RU" w:eastAsia="zh-CN" w:bidi="hi-IN"/>
    </w:rPr>
  </w:style>
  <w:style w:type="paragraph" w:styleId="1">
    <w:name w:val="Heading 1"/>
    <w:basedOn w:val="Normal"/>
    <w:next w:val="Normal"/>
    <w:qFormat/>
    <w:pPr>
      <w:keepNext w:val="true"/>
      <w:numPr>
        <w:ilvl w:val="0"/>
        <w:numId w:val="1"/>
      </w:numPr>
      <w:jc w:val="both"/>
      <w:outlineLvl w:val="0"/>
    </w:pPr>
    <w:rPr>
      <w:rFonts w:eastAsia="Times New Roman"/>
      <w:b/>
      <w:szCs w:val="20"/>
    </w:rPr>
  </w:style>
  <w:style w:type="paragraph" w:styleId="2">
    <w:name w:val="Heading 2"/>
    <w:basedOn w:val="Normal"/>
    <w:next w:val="Normal"/>
    <w:qFormat/>
    <w:pPr>
      <w:keepNext w:val="true"/>
      <w:numPr>
        <w:ilvl w:val="1"/>
        <w:numId w:val="1"/>
      </w:numPr>
      <w:outlineLvl w:val="1"/>
    </w:pPr>
    <w:rPr>
      <w:rFonts w:eastAsia="Times New Roman"/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1z0" w:customStyle="1">
    <w:name w:val="WW8Num1z0"/>
    <w:qFormat/>
    <w:rPr/>
  </w:style>
  <w:style w:type="character" w:styleId="WW8Num1z1" w:customStyle="1">
    <w:name w:val="WW8Num1z1"/>
    <w:qFormat/>
    <w:rPr/>
  </w:style>
  <w:style w:type="character" w:styleId="WW8Num1z2" w:customStyle="1">
    <w:name w:val="WW8Num1z2"/>
    <w:qFormat/>
    <w:rPr/>
  </w:style>
  <w:style w:type="character" w:styleId="WW8Num1z3" w:customStyle="1">
    <w:name w:val="WW8Num1z3"/>
    <w:qFormat/>
    <w:rPr/>
  </w:style>
  <w:style w:type="character" w:styleId="WW8Num1z4" w:customStyle="1">
    <w:name w:val="WW8Num1z4"/>
    <w:qFormat/>
    <w:rPr/>
  </w:style>
  <w:style w:type="character" w:styleId="WW8Num1z5" w:customStyle="1">
    <w:name w:val="WW8Num1z5"/>
    <w:qFormat/>
    <w:rPr/>
  </w:style>
  <w:style w:type="character" w:styleId="WW8Num1z6" w:customStyle="1">
    <w:name w:val="WW8Num1z6"/>
    <w:qFormat/>
    <w:rPr/>
  </w:style>
  <w:style w:type="character" w:styleId="WW8Num1z7" w:customStyle="1">
    <w:name w:val="WW8Num1z7"/>
    <w:qFormat/>
    <w:rPr/>
  </w:style>
  <w:style w:type="character" w:styleId="WW8Num1z8" w:customStyle="1">
    <w:name w:val="WW8Num1z8"/>
    <w:qFormat/>
    <w:rPr/>
  </w:style>
  <w:style w:type="character" w:styleId="WW8Num2z0" w:customStyle="1">
    <w:name w:val="WW8Num2z0"/>
    <w:qFormat/>
    <w:rPr>
      <w:sz w:val="23"/>
      <w:szCs w:val="23"/>
    </w:rPr>
  </w:style>
  <w:style w:type="character" w:styleId="WW8Num2z1" w:customStyle="1">
    <w:name w:val="WW8Num2z1"/>
    <w:qFormat/>
    <w:rPr/>
  </w:style>
  <w:style w:type="character" w:styleId="WW8Num2z2" w:customStyle="1">
    <w:name w:val="WW8Num2z2"/>
    <w:qFormat/>
    <w:rPr/>
  </w:style>
  <w:style w:type="character" w:styleId="WW8Num2z3" w:customStyle="1">
    <w:name w:val="WW8Num2z3"/>
    <w:qFormat/>
    <w:rPr/>
  </w:style>
  <w:style w:type="character" w:styleId="WW8Num2z4" w:customStyle="1">
    <w:name w:val="WW8Num2z4"/>
    <w:qFormat/>
    <w:rPr/>
  </w:style>
  <w:style w:type="character" w:styleId="WW8Num2z5" w:customStyle="1">
    <w:name w:val="WW8Num2z5"/>
    <w:qFormat/>
    <w:rPr/>
  </w:style>
  <w:style w:type="character" w:styleId="WW8Num2z6" w:customStyle="1">
    <w:name w:val="WW8Num2z6"/>
    <w:qFormat/>
    <w:rPr/>
  </w:style>
  <w:style w:type="character" w:styleId="WW8Num2z7" w:customStyle="1">
    <w:name w:val="WW8Num2z7"/>
    <w:qFormat/>
    <w:rPr/>
  </w:style>
  <w:style w:type="character" w:styleId="WW8Num2z8" w:customStyle="1">
    <w:name w:val="WW8Num2z8"/>
    <w:qFormat/>
    <w:rPr/>
  </w:style>
  <w:style w:type="character" w:styleId="WW8Num3z0" w:customStyle="1">
    <w:name w:val="WW8Num3z0"/>
    <w:qFormat/>
    <w:rPr>
      <w:rFonts w:ascii="Symbol" w:hAnsi="Symbol" w:cs="Symbol"/>
    </w:rPr>
  </w:style>
  <w:style w:type="character" w:styleId="WW8Num3z1" w:customStyle="1">
    <w:name w:val="WW8Num3z1"/>
    <w:qFormat/>
    <w:rPr>
      <w:rFonts w:ascii="Courier New" w:hAnsi="Courier New" w:cs="Courier New"/>
    </w:rPr>
  </w:style>
  <w:style w:type="character" w:styleId="WW8Num3z2" w:customStyle="1">
    <w:name w:val="WW8Num3z2"/>
    <w:qFormat/>
    <w:rPr>
      <w:rFonts w:ascii="Wingdings" w:hAnsi="Wingdings" w:cs="Wingdings"/>
    </w:rPr>
  </w:style>
  <w:style w:type="character" w:styleId="WW8Num4z0" w:customStyle="1">
    <w:name w:val="WW8Num4z0"/>
    <w:qFormat/>
    <w:rPr>
      <w:rFonts w:ascii="Symbol" w:hAnsi="Symbol" w:cs="Symbol"/>
    </w:rPr>
  </w:style>
  <w:style w:type="character" w:styleId="WW8Num4z1" w:customStyle="1">
    <w:name w:val="WW8Num4z1"/>
    <w:qFormat/>
    <w:rPr/>
  </w:style>
  <w:style w:type="character" w:styleId="WW8Num4z2" w:customStyle="1">
    <w:name w:val="WW8Num4z2"/>
    <w:qFormat/>
    <w:rPr/>
  </w:style>
  <w:style w:type="character" w:styleId="WW8Num4z3" w:customStyle="1">
    <w:name w:val="WW8Num4z3"/>
    <w:qFormat/>
    <w:rPr/>
  </w:style>
  <w:style w:type="character" w:styleId="WW8Num4z4" w:customStyle="1">
    <w:name w:val="WW8Num4z4"/>
    <w:qFormat/>
    <w:rPr/>
  </w:style>
  <w:style w:type="character" w:styleId="WW8Num4z5" w:customStyle="1">
    <w:name w:val="WW8Num4z5"/>
    <w:qFormat/>
    <w:rPr/>
  </w:style>
  <w:style w:type="character" w:styleId="WW8Num4z6" w:customStyle="1">
    <w:name w:val="WW8Num4z6"/>
    <w:qFormat/>
    <w:rPr/>
  </w:style>
  <w:style w:type="character" w:styleId="WW8Num4z7" w:customStyle="1">
    <w:name w:val="WW8Num4z7"/>
    <w:qFormat/>
    <w:rPr/>
  </w:style>
  <w:style w:type="character" w:styleId="WW8Num4z8" w:customStyle="1">
    <w:name w:val="WW8Num4z8"/>
    <w:qFormat/>
    <w:rPr/>
  </w:style>
  <w:style w:type="character" w:styleId="WW8Num5z0" w:customStyle="1">
    <w:name w:val="WW8Num5z0"/>
    <w:qFormat/>
    <w:rPr/>
  </w:style>
  <w:style w:type="character" w:styleId="WW8Num5z1" w:customStyle="1">
    <w:name w:val="WW8Num5z1"/>
    <w:qFormat/>
    <w:rPr>
      <w:sz w:val="22"/>
    </w:rPr>
  </w:style>
  <w:style w:type="character" w:styleId="WW8Num6z0" w:customStyle="1">
    <w:name w:val="WW8Num6z0"/>
    <w:qFormat/>
    <w:rPr/>
  </w:style>
  <w:style w:type="character" w:styleId="WW8Num7z0" w:customStyle="1">
    <w:name w:val="WW8Num7z0"/>
    <w:qFormat/>
    <w:rPr>
      <w:sz w:val="23"/>
      <w:szCs w:val="23"/>
    </w:rPr>
  </w:style>
  <w:style w:type="character" w:styleId="11" w:customStyle="1">
    <w:name w:val="Основной шрифт абзаца1"/>
    <w:qFormat/>
    <w:rPr/>
  </w:style>
  <w:style w:type="character" w:styleId="Style12" w:customStyle="1">
    <w:name w:val="Основной текст с отступом Знак"/>
    <w:qFormat/>
    <w:rPr>
      <w:rFonts w:eastAsia="SimSun;宋体"/>
      <w:sz w:val="24"/>
      <w:szCs w:val="24"/>
    </w:rPr>
  </w:style>
  <w:style w:type="character" w:styleId="12" w:customStyle="1">
    <w:name w:val="Заголовок 1 Знак"/>
    <w:qFormat/>
    <w:rPr>
      <w:b/>
      <w:sz w:val="24"/>
    </w:rPr>
  </w:style>
  <w:style w:type="character" w:styleId="21" w:customStyle="1">
    <w:name w:val="Заголовок 2 Знак"/>
    <w:qFormat/>
    <w:rPr>
      <w:b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Style13">
    <w:name w:val="Посещённая гиперссылка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paragraph" w:styleId="Style14" w:customStyle="1">
    <w:name w:val="Заголовок"/>
    <w:basedOn w:val="Normal"/>
    <w:next w:val="Style15"/>
    <w:qFormat/>
    <w:pPr>
      <w:keepNext w:val="true"/>
      <w:spacing w:before="240" w:after="120"/>
    </w:pPr>
    <w:rPr>
      <w:rFonts w:ascii="Arial" w:hAnsi="Arial" w:eastAsia="Arial Unicode MS" w:cs="Mangal"/>
      <w:sz w:val="28"/>
      <w:szCs w:val="28"/>
    </w:rPr>
  </w:style>
  <w:style w:type="paragraph" w:styleId="Style15">
    <w:name w:val="Body Text"/>
    <w:basedOn w:val="Normal"/>
    <w:pPr>
      <w:spacing w:before="0" w:after="120"/>
    </w:pPr>
    <w:rPr/>
  </w:style>
  <w:style w:type="paragraph" w:styleId="Style16">
    <w:name w:val="List"/>
    <w:basedOn w:val="Style15"/>
    <w:pPr/>
    <w:rPr>
      <w:rFonts w:cs="Mang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next w:val="Normal"/>
    <w:qFormat/>
    <w:pPr>
      <w:jc w:val="both"/>
    </w:pPr>
    <w:rPr>
      <w:rFonts w:eastAsia="Times New Roman"/>
      <w:b/>
      <w:szCs w:val="20"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13" w:customStyle="1">
    <w:name w:val="Название1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14" w:customStyle="1">
    <w:name w:val="Указатель1"/>
    <w:basedOn w:val="Normal"/>
    <w:qFormat/>
    <w:pPr>
      <w:suppressLineNumbers/>
    </w:pPr>
    <w:rPr>
      <w:rFonts w:cs="Mangal"/>
    </w:rPr>
  </w:style>
  <w:style w:type="paragraph" w:styleId="15" w:customStyle="1">
    <w:name w:val="Текст1"/>
    <w:basedOn w:val="Normal"/>
    <w:qFormat/>
    <w:pPr/>
    <w:rPr>
      <w:rFonts w:ascii="Courier New" w:hAnsi="Courier New" w:eastAsia="Times New Roman"/>
      <w:sz w:val="20"/>
      <w:szCs w:val="20"/>
    </w:rPr>
  </w:style>
  <w:style w:type="paragraph" w:styleId="211" w:customStyle="1">
    <w:name w:val="Основной текст 21"/>
    <w:basedOn w:val="Normal"/>
    <w:qFormat/>
    <w:pPr>
      <w:jc w:val="both"/>
    </w:pPr>
    <w:rPr>
      <w:rFonts w:eastAsia="Times New Roman"/>
      <w:sz w:val="22"/>
      <w:szCs w:val="20"/>
    </w:rPr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Style19">
    <w:name w:val="Body Text Indent"/>
    <w:basedOn w:val="Normal"/>
    <w:pPr>
      <w:spacing w:before="0" w:after="120"/>
      <w:ind w:left="283" w:hanging="0"/>
    </w:pPr>
    <w:rPr/>
  </w:style>
  <w:style w:type="paragraph" w:styleId="Style20" w:customStyle="1">
    <w:name w:val="Форматированный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</w:pPr>
    <w:rPr>
      <w:rFonts w:ascii="Courier New" w:hAnsi="Courier New" w:eastAsia="Times New Roman"/>
      <w:sz w:val="20"/>
      <w:szCs w:val="20"/>
    </w:rPr>
  </w:style>
  <w:style w:type="paragraph" w:styleId="NormalWeb">
    <w:name w:val="Normal (Web)"/>
    <w:basedOn w:val="Normal"/>
    <w:qFormat/>
    <w:pPr>
      <w:spacing w:before="280" w:after="280"/>
    </w:pPr>
    <w:rPr>
      <w:rFonts w:eastAsia="Times New Roman"/>
    </w:rPr>
  </w:style>
  <w:style w:type="paragraph" w:styleId="Style21" w:customStyle="1">
    <w:name w:val="Содержимое таблицы"/>
    <w:basedOn w:val="Normal"/>
    <w:qFormat/>
    <w:pPr>
      <w:suppressLineNumbers/>
    </w:pPr>
    <w:rPr/>
  </w:style>
  <w:style w:type="paragraph" w:styleId="Style22" w:customStyle="1">
    <w:name w:val="Заголовок таблицы"/>
    <w:basedOn w:val="Style21"/>
    <w:qFormat/>
    <w:pPr>
      <w:jc w:val="center"/>
    </w:pPr>
    <w:rPr>
      <w:b/>
      <w:bCs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kern w:val="2"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 w:val="false"/>
      <w:pBdr>
        <w:top w:val="double" w:sz="2" w:space="0" w:color="000000"/>
      </w:pBdr>
      <w:suppressAutoHyphens w:val="true"/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 w:val="false"/>
      <w:pBdr>
        <w:bottom w:val="double" w:sz="2" w:space="0" w:color="000000"/>
      </w:pBdr>
      <w:suppressAutoHyphens w:val="true"/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numbering" w:styleId="WW8Num1" w:customStyle="1">
    <w:name w:val="WW8Num1"/>
    <w:qFormat/>
  </w:style>
  <w:style w:type="numbering" w:styleId="WW8Num2" w:customStyle="1">
    <w:name w:val="WW8Num2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</TotalTime>
  <Application>LibreOffice/6.4.2.2$Windows_X86_64 LibreOffice_project/4e471d8c02c9c90f512f7f9ead8875b57fcb1ec3</Application>
  <Pages>2</Pages>
  <Words>542</Words>
  <Characters>4618</Characters>
  <CharactersWithSpaces>5212</CharactersWithSpaces>
  <Paragraphs>48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2018-08-30T12:01:00Z</dcterms:created>
  <dc:creator>1</dc:creator>
  <dc:description/>
  <dc:language>ru-RU</dc:language>
  <cp:lastModifiedBy/>
  <cp:lastPrinted>1995-11-21T17:41:00Z</cp:lastPrinted>
  <dcterms:modified xsi:type="dcterms:W3CDTF">2021-09-26T11:10:08Z</dcterms:modified>
  <cp:revision>47</cp:revision>
  <dc:subject/>
  <dc:title>Договор купли-продажи здания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