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Каймары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</w:t>
      </w:r>
      <w:r>
        <w:rPr>
          <w:color w:val="000000"/>
          <w:spacing w:val="-4"/>
          <w:sz w:val="22"/>
          <w:szCs w:val="22"/>
          <w:lang w:eastAsia="ru-RU"/>
        </w:rPr>
        <w:t>1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6"/>
        <w:gridCol w:w="5458"/>
        <w:gridCol w:w="1"/>
        <w:gridCol w:w="2221"/>
      </w:tblGrid>
      <w:tr>
        <w:trPr>
          <w:trHeight w:val="704" w:hRule="atLeast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рублей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Мухаметзянова Гульназ Наилевна (ИНН 165601336284)</w:t>
        <w:br/>
        <w:t xml:space="preserve">р/с 40817810672007919844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overflowPunct w:val="tru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529</Words>
  <Characters>4097</Characters>
  <CharactersWithSpaces>4730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2021-01-25T15:30:04Z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