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spacing w:before="100" w:after="100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>ДОГОВОР</w:t>
      </w:r>
    </w:p>
    <w:p>
      <w:pPr>
        <w:pStyle w:val="Normal"/>
        <w:jc w:val="center"/>
        <w:rPr>
          <w:b/>
          <w:b/>
          <w:sz w:val="23"/>
          <w:szCs w:val="23"/>
        </w:rPr>
      </w:pPr>
      <w:r>
        <w:rPr>
          <w:b/>
          <w:sz w:val="23"/>
          <w:szCs w:val="23"/>
        </w:rPr>
        <w:t xml:space="preserve">купли – продажи </w:t>
      </w:r>
    </w:p>
    <w:p>
      <w:pPr>
        <w:pStyle w:val="Normal"/>
        <w:jc w:val="center"/>
        <w:rPr>
          <w:rFonts w:eastAsia="Times New Roman"/>
          <w:b/>
          <w:b/>
          <w:sz w:val="23"/>
          <w:szCs w:val="23"/>
        </w:rPr>
      </w:pPr>
      <w:r>
        <w:rPr>
          <w:rFonts w:eastAsia="Times New Roman"/>
          <w:b/>
          <w:sz w:val="23"/>
          <w:szCs w:val="23"/>
        </w:rPr>
        <w:t xml:space="preserve">   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b w:val="false"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г. Казань </w:t>
      </w:r>
      <w:r>
        <w:rPr>
          <w:color w:val="auto"/>
          <w:sz w:val="22"/>
          <w:szCs w:val="22"/>
        </w:rPr>
        <w:tab/>
        <w:tab/>
        <w:t xml:space="preserve">                                                                                         «___» ____________ 2020 г.</w:t>
      </w:r>
    </w:p>
    <w:p>
      <w:pPr>
        <w:pStyle w:val="Normal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Гражданин РФ,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Люсов Станислав Сергеевич (08.01.1991г.р., место рожд: гор.Казань, адрес рег: 420005, Татарстан Респ, Казань г, Гагарина (Отары) ул, дом № 17)</w:t>
      </w:r>
      <w:r>
        <w:rPr>
          <w:bCs/>
          <w:color w:val="auto"/>
          <w:sz w:val="22"/>
          <w:szCs w:val="22"/>
        </w:rPr>
        <w:t xml:space="preserve">, именуемый в дальнейшем "Продавец", в лице финансового управляющего Шуховцева Данила Михайловича, действующего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Татарстана от 15.07.2020г. по делу А65-6921/2020 </w:t>
      </w:r>
      <w:r>
        <w:rPr>
          <w:color w:val="auto"/>
          <w:sz w:val="22"/>
          <w:szCs w:val="22"/>
        </w:rPr>
        <w:t xml:space="preserve">с одной стороны и 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______________________________________________________________________________________________________________________________________________________________________, именуемый в дальнейшем "Покупатель", с другой стороны, заключили настоящий договор о нижеследующем: </w:t>
      </w:r>
    </w:p>
    <w:p>
      <w:pPr>
        <w:pStyle w:val="Normal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19"/>
        <w:numPr>
          <w:ilvl w:val="0"/>
          <w:numId w:val="2"/>
        </w:numPr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Предмет договора</w:t>
      </w:r>
    </w:p>
    <w:p>
      <w:pPr>
        <w:pStyle w:val="Style19"/>
        <w:spacing w:before="0" w:after="0"/>
        <w:ind w:left="0" w:hanging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9"/>
        <w:numPr>
          <w:ilvl w:val="1"/>
          <w:numId w:val="2"/>
        </w:numPr>
        <w:spacing w:before="0" w:after="0"/>
        <w:ind w:left="0" w:hanging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Продавец обязуется передать, а Покупатель принять и оплатить следующее Имущество:</w:t>
      </w:r>
    </w:p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tbl>
      <w:tblPr>
        <w:tblW w:w="10226" w:type="dxa"/>
        <w:jc w:val="left"/>
        <w:tblInd w:w="274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51"/>
        <w:gridCol w:w="5426"/>
        <w:gridCol w:w="2249"/>
      </w:tblGrid>
      <w:tr>
        <w:trPr>
          <w:trHeight w:val="704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№</w:t>
            </w:r>
            <w:r>
              <w:rPr>
                <w:rFonts w:eastAsia="Times New Roman"/>
                <w:b/>
                <w:color w:val="auto"/>
                <w:sz w:val="22"/>
                <w:szCs w:val="22"/>
              </w:rPr>
              <w:t xml:space="preserve"> </w:t>
            </w:r>
            <w:r>
              <w:rPr>
                <w:b/>
                <w:color w:val="auto"/>
                <w:sz w:val="22"/>
                <w:szCs w:val="22"/>
              </w:rPr>
              <w:t>п/п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 xml:space="preserve">Наименование объекта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3"/>
                <w:szCs w:val="23"/>
              </w:rPr>
            </w:pPr>
            <w:r>
              <w:rPr>
                <w:color w:val="auto"/>
                <w:sz w:val="22"/>
                <w:szCs w:val="22"/>
              </w:rPr>
              <w:t>Лот 1</w:t>
            </w:r>
          </w:p>
        </w:tc>
        <w:tc>
          <w:tcPr>
            <w:tcW w:w="5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auto"/>
                <w:spacing w:val="0"/>
                <w:sz w:val="22"/>
                <w:szCs w:val="22"/>
              </w:rPr>
              <w:t xml:space="preserve">Транспортное средство: Volkswagen Passat CC, год выпуска 2011, номер VIN отсутствует, кузов (шасси) № WVWZZZ3CZBE743591   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496 170,00</w:t>
            </w:r>
          </w:p>
        </w:tc>
      </w:tr>
      <w:tr>
        <w:trPr>
          <w:trHeight w:val="488" w:hRule="atLeast"/>
        </w:trPr>
        <w:tc>
          <w:tcPr>
            <w:tcW w:w="79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>
                <w:b/>
                <w:b/>
              </w:rPr>
            </w:pPr>
            <w:r>
              <w:rPr>
                <w:b/>
                <w:color w:val="auto"/>
                <w:sz w:val="22"/>
                <w:szCs w:val="22"/>
              </w:rPr>
              <w:t>Итого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>
                <w:rFonts w:ascii="Times New Roman" w:hAnsi="Times New Roman"/>
                <w:color w:val="auto"/>
                <w:sz w:val="22"/>
                <w:szCs w:val="22"/>
              </w:rPr>
            </w:pPr>
            <w:r>
              <w:rPr>
                <w:rFonts w:ascii="Tahoma;Sans Serif" w:hAnsi="Tahoma;Sans Serif"/>
                <w:b w:val="false"/>
                <w:i w:val="false"/>
                <w:caps w:val="false"/>
                <w:smallCaps w:val="false"/>
                <w:color w:val="333333"/>
                <w:spacing w:val="0"/>
                <w:sz w:val="13"/>
                <w:szCs w:val="22"/>
              </w:rPr>
              <w:t>496 170,00</w:t>
            </w:r>
            <w:r>
              <w:rPr>
                <w:b/>
                <w:color w:val="auto"/>
                <w:sz w:val="22"/>
                <w:szCs w:val="22"/>
              </w:rPr>
              <w:t xml:space="preserve"> </w:t>
            </w:r>
          </w:p>
        </w:tc>
      </w:tr>
    </w:tbl>
    <w:p>
      <w:pPr>
        <w:pStyle w:val="Style19"/>
        <w:spacing w:before="0" w:after="0"/>
        <w:jc w:val="both"/>
        <w:rPr>
          <w:rFonts w:ascii="Times New Roman" w:hAnsi="Times New Roman"/>
          <w:color w:val="auto"/>
          <w:sz w:val="22"/>
          <w:szCs w:val="22"/>
          <w:lang w:val="en-US"/>
        </w:rPr>
      </w:pPr>
      <w:r>
        <w:rPr>
          <w:color w:val="auto"/>
          <w:sz w:val="22"/>
          <w:szCs w:val="22"/>
          <w:lang w:val="en-US"/>
        </w:rPr>
      </w:r>
    </w:p>
    <w:p>
      <w:pPr>
        <w:pStyle w:val="NormalWeb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2. Цена и порядок расчётов</w:t>
      </w:r>
    </w:p>
    <w:p>
      <w:pPr>
        <w:pStyle w:val="NormalWeb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Web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2.1. Общая стоимость имущества, указанного в п. 1.1. настоящего договора, составляет </w:t>
      </w:r>
      <w:r>
        <w:rPr>
          <w:color w:val="auto"/>
          <w:sz w:val="22"/>
          <w:szCs w:val="22"/>
        </w:rPr>
        <w:t>496</w:t>
      </w:r>
      <w:r>
        <w:rPr>
          <w:b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17</w:t>
      </w:r>
      <w:r>
        <w:rPr>
          <w:b/>
          <w:bCs/>
          <w:color w:val="auto"/>
          <w:sz w:val="22"/>
          <w:szCs w:val="22"/>
        </w:rPr>
        <w:t>0,00  рублей 00 коп</w:t>
      </w:r>
      <w:r>
        <w:rPr>
          <w:color w:val="auto"/>
          <w:sz w:val="22"/>
          <w:szCs w:val="22"/>
        </w:rPr>
        <w:t xml:space="preserve">., без НДС. Задаток в сумме </w:t>
      </w:r>
      <w:r>
        <w:rPr>
          <w:b/>
          <w:bCs/>
          <w:color w:val="auto"/>
          <w:sz w:val="22"/>
          <w:szCs w:val="22"/>
        </w:rPr>
        <w:t>49</w:t>
      </w:r>
      <w:r>
        <w:rPr>
          <w:b/>
          <w:bCs/>
          <w:color w:val="auto"/>
          <w:spacing w:val="5"/>
          <w:sz w:val="22"/>
          <w:szCs w:val="22"/>
        </w:rPr>
        <w:t xml:space="preserve"> </w:t>
      </w:r>
      <w:r>
        <w:rPr>
          <w:b/>
          <w:bCs/>
          <w:color w:val="auto"/>
          <w:spacing w:val="5"/>
          <w:sz w:val="22"/>
          <w:szCs w:val="22"/>
        </w:rPr>
        <w:t>617</w:t>
      </w:r>
      <w:r>
        <w:rPr>
          <w:b/>
          <w:bCs/>
          <w:color w:val="auto"/>
          <w:sz w:val="22"/>
          <w:szCs w:val="22"/>
        </w:rPr>
        <w:t xml:space="preserve"> рублей 00 коп.</w:t>
      </w:r>
      <w:r>
        <w:rPr>
          <w:b/>
          <w:bCs/>
          <w:color w:val="auto"/>
          <w:spacing w:val="5"/>
          <w:sz w:val="22"/>
          <w:szCs w:val="22"/>
        </w:rPr>
        <w:t>,</w:t>
      </w:r>
      <w:r>
        <w:rPr>
          <w:color w:val="auto"/>
          <w:sz w:val="22"/>
          <w:szCs w:val="22"/>
        </w:rPr>
        <w:t xml:space="preserve">, перечисленный Покупателем по Договору о задатке № __ от ___________________г, засчитывается в счет оплаты Имущества. За вычетом суммы задатка Покупатель должен уплатить _________________________ (_____________________________________) руб. __ коп.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2.2. Оплата стоимости имущества в размере, установленном п. 2. 1. настоящего договора, должна быть произведена Покупателем в течение 30 (тридцати) дней с момента подписания настоящего договора.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2.3. Оплата производится Покупателем путем перечисления денежных средств на расчетный счет Продавца по указанным в договоре банковским реквизитам.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3. Права и обязанности сторон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3.1. Продавец обязан: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3.1.1. Передать Имущество в течение 10 (десяти) дней после полной оплаты Имущества Покупателем. Передача оформляется Актом приема-передачи, который с момента его подписания сторонами является неотъемлемой частью настоящего договора.</w:t>
      </w:r>
    </w:p>
    <w:p>
      <w:pPr>
        <w:pStyle w:val="Normal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3.1.2. Вместе с передачей имущества, продавец передает имеющуюся техническую и иную документацию, необходимую эксплуатации имущества. Покупатель обязуется принять Имущество и документацию.</w:t>
      </w:r>
    </w:p>
    <w:p>
      <w:pPr>
        <w:pStyle w:val="NormalWeb"/>
        <w:spacing w:before="0" w:after="0"/>
        <w:jc w:val="both"/>
        <w:rPr>
          <w:bCs/>
          <w:sz w:val="23"/>
          <w:szCs w:val="23"/>
        </w:rPr>
      </w:pPr>
      <w:r>
        <w:rPr>
          <w:bCs/>
          <w:color w:val="auto"/>
          <w:sz w:val="22"/>
          <w:szCs w:val="22"/>
        </w:rPr>
        <w:t xml:space="preserve">3.2. Покупатель обязан: 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3.2.1. </w:t>
      </w:r>
      <w:r>
        <w:rPr>
          <w:color w:val="auto"/>
          <w:sz w:val="22"/>
          <w:szCs w:val="22"/>
        </w:rPr>
        <w:t xml:space="preserve">Принять Имущество </w:t>
      </w:r>
      <w:r>
        <w:rPr>
          <w:bCs/>
          <w:color w:val="auto"/>
          <w:sz w:val="22"/>
          <w:szCs w:val="22"/>
        </w:rPr>
        <w:t xml:space="preserve">на </w:t>
      </w:r>
      <w:r>
        <w:rPr>
          <w:color w:val="auto"/>
          <w:sz w:val="22"/>
          <w:szCs w:val="22"/>
        </w:rPr>
        <w:t xml:space="preserve">условиях, предусмотренных настоящим договором.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3.2.2. Оплатить стоимость Имущества в соответствии с условиями настоящего договора.</w:t>
      </w:r>
    </w:p>
    <w:p>
      <w:pPr>
        <w:pStyle w:val="Style15"/>
        <w:spacing w:before="0" w:after="0"/>
        <w:ind w:left="360" w:hanging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4. Срок действия договора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4.1. Настоящий договор действует со дня его подписания сторонами до выполнения сторонами обязательств по договору.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4.2. Окончание срока действия настоящего договора не освобождает стороны от ответственности за нарушение условий договора.</w:t>
      </w:r>
    </w:p>
    <w:p>
      <w:pPr>
        <w:pStyle w:val="Style15"/>
        <w:spacing w:before="0" w:after="0"/>
        <w:ind w:firstLine="72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5. Порядок изменения и расторжения договора. Разрешение споров</w:t>
      </w:r>
    </w:p>
    <w:p>
      <w:pPr>
        <w:pStyle w:val="Style15"/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5.1. Настоящий договор заключается в простой письменной форме.</w:t>
      </w:r>
    </w:p>
    <w:p>
      <w:pPr>
        <w:pStyle w:val="NormalWeb"/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color w:val="auto"/>
          <w:sz w:val="22"/>
          <w:szCs w:val="22"/>
        </w:rPr>
        <w:t xml:space="preserve">5.2. Содержание ст.ст. 209, 223, 423, 452, 460, 475, 552, 556, 557 ГК </w:t>
      </w:r>
      <w:r>
        <w:rPr>
          <w:bCs/>
          <w:color w:val="auto"/>
          <w:sz w:val="22"/>
          <w:szCs w:val="22"/>
        </w:rPr>
        <w:t>РФ сторонам известно.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5.3.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5.4. Стороны не несут ответственности за задержку исполнения своих обязательств, если она вызвана причинами, не зависящими от них. </w:t>
      </w:r>
    </w:p>
    <w:p>
      <w:pPr>
        <w:pStyle w:val="NormalWeb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 xml:space="preserve">5.5. Взаимоотношения сторон, не урегулированные настоящим договором, регулируются действующим законодательством РФ. </w:t>
      </w:r>
    </w:p>
    <w:p>
      <w:pPr>
        <w:pStyle w:val="Style15"/>
        <w:spacing w:before="0" w:after="0"/>
        <w:jc w:val="center"/>
        <w:rPr>
          <w:b/>
          <w:b/>
          <w:sz w:val="23"/>
          <w:szCs w:val="23"/>
        </w:rPr>
      </w:pPr>
      <w:r>
        <w:rPr>
          <w:b/>
          <w:color w:val="auto"/>
          <w:sz w:val="22"/>
          <w:szCs w:val="22"/>
        </w:rPr>
        <w:t>6. Прочие условия</w:t>
      </w:r>
    </w:p>
    <w:p>
      <w:pPr>
        <w:pStyle w:val="Style15"/>
        <w:spacing w:before="0" w:after="0"/>
        <w:jc w:val="center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6.1. Настоящий договор составлен и заключен в двух экземплярах, имеющих равную юридическую силу, один - Покупателю, один – Продавцу.</w:t>
      </w:r>
    </w:p>
    <w:p>
      <w:pPr>
        <w:pStyle w:val="Style15"/>
        <w:spacing w:before="0" w:after="0"/>
        <w:jc w:val="both"/>
        <w:rPr>
          <w:sz w:val="23"/>
          <w:szCs w:val="23"/>
        </w:rPr>
      </w:pPr>
      <w:r>
        <w:rPr>
          <w:color w:val="auto"/>
          <w:sz w:val="22"/>
          <w:szCs w:val="22"/>
        </w:rPr>
        <w:t>6.2. Приложением к настоящему договору является акт приема-передачи Имущества.</w:t>
      </w:r>
    </w:p>
    <w:p>
      <w:pPr>
        <w:pStyle w:val="Style15"/>
        <w:spacing w:before="0" w:after="0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sz w:val="23"/>
          <w:szCs w:val="23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  <w:t>7. Реквизиты и подписи сторон</w:t>
      </w:r>
    </w:p>
    <w:p>
      <w:pPr>
        <w:pStyle w:val="Style20"/>
        <w:tabs>
          <w:tab w:val="clear" w:pos="9590"/>
          <w:tab w:val="left" w:pos="0" w:leader="none"/>
          <w:tab w:val="left" w:pos="959" w:leader="none"/>
          <w:tab w:val="left" w:pos="1918" w:leader="none"/>
          <w:tab w:val="left" w:pos="2877" w:leader="none"/>
          <w:tab w:val="left" w:pos="3836" w:leader="none"/>
          <w:tab w:val="left" w:pos="4795" w:leader="none"/>
          <w:tab w:val="left" w:pos="5754" w:leader="none"/>
          <w:tab w:val="left" w:pos="6713" w:leader="none"/>
          <w:tab w:val="left" w:pos="7672" w:leader="none"/>
          <w:tab w:val="left" w:pos="8631" w:leader="none"/>
        </w:tabs>
        <w:ind w:left="284" w:hanging="0"/>
        <w:jc w:val="center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 w:ascii="Times New Roman" w:hAnsi="Times New Roman"/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 w:cs="Times New Roman"/>
          <w:b/>
          <w:b/>
          <w:color w:val="auto"/>
          <w:sz w:val="22"/>
          <w:szCs w:val="22"/>
        </w:rPr>
      </w:pPr>
      <w:r>
        <w:rPr>
          <w:rFonts w:cs="Times New Roman"/>
          <w:b/>
          <w:color w:val="auto"/>
          <w:sz w:val="22"/>
          <w:szCs w:val="22"/>
        </w:rPr>
      </w:r>
    </w:p>
    <w:p>
      <w:pPr>
        <w:sectPr>
          <w:type w:val="nextPage"/>
          <w:pgSz w:w="11906" w:h="16838"/>
          <w:pgMar w:left="1134" w:right="746" w:header="0" w:top="719" w:footer="0" w:bottom="899" w:gutter="0"/>
          <w:pgNumType w:fmt="decimal"/>
          <w:formProt w:val="false"/>
          <w:textDirection w:val="lrTb"/>
          <w:docGrid w:type="default" w:linePitch="360" w:charSpace="0"/>
        </w:sectPr>
      </w:pP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Cs/>
          <w:color w:val="auto"/>
          <w:sz w:val="22"/>
          <w:szCs w:val="22"/>
        </w:rPr>
        <w:t xml:space="preserve"> </w:t>
      </w:r>
      <w:r>
        <w:rPr>
          <w:b/>
          <w:bCs/>
          <w:color w:val="auto"/>
          <w:sz w:val="22"/>
          <w:szCs w:val="22"/>
        </w:rPr>
        <w:t>Продавец: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Финансовый управляющий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Люсова Станислава Сергеевича  </w:t>
      </w:r>
      <w:r>
        <w:rPr>
          <w:color w:val="auto"/>
          <w:sz w:val="22"/>
          <w:szCs w:val="22"/>
        </w:rPr>
        <w:t>Шуховцев Данил Михайлович,</w:t>
      </w:r>
      <w:r>
        <w:rPr>
          <w:bCs/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t xml:space="preserve">действующий на основании решения Арбитражного суда </w:t>
      </w:r>
      <w:r>
        <w:rPr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 xml:space="preserve">Республики Татарстана от 15.07.2020г. по делу А65-6921/2020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bCs/>
          <w:color w:val="auto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auto"/>
          <w:sz w:val="22"/>
          <w:szCs w:val="22"/>
        </w:rPr>
      </w:pP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Получатель: </w:t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Люсов Станислав Сергеевич (ИНН 165916893666)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auto"/>
          <w:spacing w:val="0"/>
          <w:sz w:val="22"/>
          <w:szCs w:val="22"/>
        </w:rPr>
        <w:t>р/с 40817810172004785827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auto"/>
          <w:spacing w:val="-2"/>
          <w:sz w:val="22"/>
          <w:szCs w:val="22"/>
        </w:rPr>
        <w:t xml:space="preserve">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/>
          <w:bCs/>
          <w:color w:val="auto"/>
          <w:spacing w:val="-2"/>
          <w:sz w:val="22"/>
          <w:szCs w:val="22"/>
        </w:rPr>
        <w:t>Шуховцев Д.М.   _________________________</w:t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 w:eastAsia="Times New Roman"/>
          <w:bCs/>
          <w:color w:val="auto"/>
          <w:spacing w:val="-2"/>
          <w:sz w:val="22"/>
          <w:szCs w:val="22"/>
        </w:rPr>
      </w:pPr>
      <w:r>
        <w:rPr>
          <w:rFonts w:eastAsia="Times New Roman"/>
          <w:bCs/>
          <w:color w:val="auto"/>
          <w:spacing w:val="-2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tabs>
          <w:tab w:val="clear" w:pos="720"/>
          <w:tab w:val="left" w:pos="527" w:leader="none"/>
        </w:tabs>
        <w:spacing w:before="0" w:after="0"/>
        <w:jc w:val="both"/>
        <w:rPr>
          <w:rFonts w:ascii="Times New Roman" w:hAnsi="Times New Roman"/>
          <w:b/>
          <w:b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</w:r>
    </w:p>
    <w:p>
      <w:pPr>
        <w:pStyle w:val="Normal"/>
        <w:rPr>
          <w:rFonts w:ascii="Times New Roman" w:hAnsi="Times New Roman"/>
          <w:color w:val="000000"/>
          <w:sz w:val="22"/>
          <w:szCs w:val="22"/>
        </w:rPr>
      </w:pPr>
      <w:r>
        <w:rPr>
          <w:b/>
          <w:color w:val="auto"/>
          <w:sz w:val="22"/>
          <w:szCs w:val="22"/>
        </w:rPr>
        <w:t>Покупатель:</w:t>
      </w:r>
    </w:p>
    <w:p>
      <w:pPr>
        <w:pStyle w:val="Normal"/>
        <w:rPr>
          <w:rFonts w:eastAsia="SimSun;宋体" w:cs="Times New Roman"/>
          <w:b/>
          <w:b/>
          <w:sz w:val="23"/>
          <w:szCs w:val="23"/>
          <w:lang w:bidi="ar-SA"/>
        </w:rPr>
      </w:pPr>
      <w:r>
        <w:rPr>
          <w:rFonts w:eastAsia="SimSun;宋体" w:cs="Times New Roman"/>
          <w:b/>
          <w:color w:val="auto"/>
          <w:sz w:val="22"/>
          <w:szCs w:val="22"/>
          <w:lang w:bidi="ar-S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Normal"/>
        <w:widowControl w:val="false"/>
        <w:bidi w:val="0"/>
        <w:spacing w:before="100" w:after="100"/>
        <w:jc w:val="left"/>
        <w:rPr>
          <w:rFonts w:ascii="Times New Roman" w:hAnsi="Times New Roman"/>
          <w:color w:val="auto"/>
          <w:sz w:val="22"/>
          <w:szCs w:val="22"/>
        </w:rPr>
      </w:pPr>
      <w:r>
        <w:rPr>
          <w:b/>
          <w:color w:val="auto"/>
          <w:sz w:val="22"/>
          <w:szCs w:val="22"/>
        </w:rPr>
        <w:t>______________________________________________________________________________________________________________________________</w:t>
      </w:r>
    </w:p>
    <w:sectPr>
      <w:type w:val="continuous"/>
      <w:pgSz w:w="11906" w:h="16838"/>
      <w:pgMar w:left="1134" w:right="746" w:header="0" w:top="719" w:footer="0" w:bottom="899" w:gutter="0"/>
      <w:cols w:num="2" w:space="282" w:equalWidth="true" w:sep="false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ind w:left="405" w:hanging="405"/>
      </w:pPr>
      <w:rPr>
        <w:sz w:val="23"/>
        <w:b/>
        <w:szCs w:val="23"/>
      </w:rPr>
    </w:lvl>
    <w:lvl w:ilvl="1">
      <w:start w:val="1"/>
      <w:numFmt w:val="decimal"/>
      <w:lvlText w:val="%1.%2."/>
      <w:lvlJc w:val="left"/>
      <w:pPr>
        <w:ind w:left="405" w:hanging="405"/>
      </w:pPr>
      <w:rPr>
        <w:sz w:val="23"/>
        <w:szCs w:val="23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sz w:val="23"/>
        <w:szCs w:val="23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sz w:val="23"/>
        <w:szCs w:val="23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sz w:val="23"/>
        <w:szCs w:val="23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sz w:val="23"/>
        <w:szCs w:val="23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sz w:val="23"/>
        <w:szCs w:val="23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sz w:val="23"/>
        <w:szCs w:val="23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sz w:val="23"/>
        <w:szCs w:val="23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0"/>
      <w:sz w:val="24"/>
      <w:szCs w:val="24"/>
      <w:lang w:val="ru-RU" w:eastAsia="zh-CN" w:bidi="hi-IN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jc w:val="both"/>
      <w:outlineLvl w:val="0"/>
    </w:pPr>
    <w:rPr>
      <w:rFonts w:eastAsia="Times New Roman"/>
      <w:b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outlineLvl w:val="1"/>
    </w:pPr>
    <w:rPr>
      <w:rFonts w:eastAsia="Times New Roman"/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sz w:val="23"/>
      <w:szCs w:val="23"/>
    </w:rPr>
  </w:style>
  <w:style w:type="character" w:styleId="WW8Num2z1" w:customStyle="1">
    <w:name w:val="WW8Num2z1"/>
    <w:qFormat/>
    <w:rPr/>
  </w:style>
  <w:style w:type="character" w:styleId="WW8Num2z2" w:customStyle="1">
    <w:name w:val="WW8Num2z2"/>
    <w:qFormat/>
    <w:rPr/>
  </w:style>
  <w:style w:type="character" w:styleId="WW8Num2z3" w:customStyle="1">
    <w:name w:val="WW8Num2z3"/>
    <w:qFormat/>
    <w:rPr/>
  </w:style>
  <w:style w:type="character" w:styleId="WW8Num2z4" w:customStyle="1">
    <w:name w:val="WW8Num2z4"/>
    <w:qFormat/>
    <w:rPr/>
  </w:style>
  <w:style w:type="character" w:styleId="WW8Num2z5" w:customStyle="1">
    <w:name w:val="WW8Num2z5"/>
    <w:qFormat/>
    <w:rPr/>
  </w:style>
  <w:style w:type="character" w:styleId="WW8Num2z6" w:customStyle="1">
    <w:name w:val="WW8Num2z6"/>
    <w:qFormat/>
    <w:rPr/>
  </w:style>
  <w:style w:type="character" w:styleId="WW8Num2z7" w:customStyle="1">
    <w:name w:val="WW8Num2z7"/>
    <w:qFormat/>
    <w:rPr/>
  </w:style>
  <w:style w:type="character" w:styleId="WW8Num2z8" w:customStyle="1">
    <w:name w:val="WW8Num2z8"/>
    <w:qFormat/>
    <w:rPr/>
  </w:style>
  <w:style w:type="character" w:styleId="WW8Num3z0" w:customStyle="1">
    <w:name w:val="WW8Num3z0"/>
    <w:qFormat/>
    <w:rPr>
      <w:rFonts w:ascii="Symbol" w:hAnsi="Symbol" w:cs="Symbol"/>
    </w:rPr>
  </w:style>
  <w:style w:type="character" w:styleId="WW8Num3z1" w:customStyle="1">
    <w:name w:val="WW8Num3z1"/>
    <w:qFormat/>
    <w:rPr>
      <w:rFonts w:ascii="Courier New" w:hAnsi="Courier New" w:cs="Courier New"/>
    </w:rPr>
  </w:style>
  <w:style w:type="character" w:styleId="WW8Num3z2" w:customStyle="1">
    <w:name w:val="WW8Num3z2"/>
    <w:qFormat/>
    <w:rPr>
      <w:rFonts w:ascii="Wingdings" w:hAnsi="Wingdings" w:cs="Wingdings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/>
  </w:style>
  <w:style w:type="character" w:styleId="WW8Num4z2" w:customStyle="1">
    <w:name w:val="WW8Num4z2"/>
    <w:qFormat/>
    <w:rPr/>
  </w:style>
  <w:style w:type="character" w:styleId="WW8Num4z3" w:customStyle="1">
    <w:name w:val="WW8Num4z3"/>
    <w:qFormat/>
    <w:rPr/>
  </w:style>
  <w:style w:type="character" w:styleId="WW8Num4z4" w:customStyle="1">
    <w:name w:val="WW8Num4z4"/>
    <w:qFormat/>
    <w:rPr/>
  </w:style>
  <w:style w:type="character" w:styleId="WW8Num4z5" w:customStyle="1">
    <w:name w:val="WW8Num4z5"/>
    <w:qFormat/>
    <w:rPr/>
  </w:style>
  <w:style w:type="character" w:styleId="WW8Num4z6" w:customStyle="1">
    <w:name w:val="WW8Num4z6"/>
    <w:qFormat/>
    <w:rPr/>
  </w:style>
  <w:style w:type="character" w:styleId="WW8Num4z7" w:customStyle="1">
    <w:name w:val="WW8Num4z7"/>
    <w:qFormat/>
    <w:rPr/>
  </w:style>
  <w:style w:type="character" w:styleId="WW8Num4z8" w:customStyle="1">
    <w:name w:val="WW8Num4z8"/>
    <w:qFormat/>
    <w:rPr/>
  </w:style>
  <w:style w:type="character" w:styleId="WW8Num5z0" w:customStyle="1">
    <w:name w:val="WW8Num5z0"/>
    <w:qFormat/>
    <w:rPr/>
  </w:style>
  <w:style w:type="character" w:styleId="WW8Num5z1" w:customStyle="1">
    <w:name w:val="WW8Num5z1"/>
    <w:qFormat/>
    <w:rPr>
      <w:sz w:val="22"/>
    </w:rPr>
  </w:style>
  <w:style w:type="character" w:styleId="WW8Num6z0" w:customStyle="1">
    <w:name w:val="WW8Num6z0"/>
    <w:qFormat/>
    <w:rPr/>
  </w:style>
  <w:style w:type="character" w:styleId="WW8Num7z0" w:customStyle="1">
    <w:name w:val="WW8Num7z0"/>
    <w:qFormat/>
    <w:rPr>
      <w:sz w:val="23"/>
      <w:szCs w:val="23"/>
    </w:rPr>
  </w:style>
  <w:style w:type="character" w:styleId="11" w:customStyle="1">
    <w:name w:val="Основной шрифт абзаца1"/>
    <w:qFormat/>
    <w:rPr/>
  </w:style>
  <w:style w:type="character" w:styleId="Style12" w:customStyle="1">
    <w:name w:val="Основной текст с отступом Знак"/>
    <w:qFormat/>
    <w:rPr>
      <w:rFonts w:eastAsia="SimSun;宋体"/>
      <w:sz w:val="24"/>
      <w:szCs w:val="24"/>
    </w:rPr>
  </w:style>
  <w:style w:type="character" w:styleId="12" w:customStyle="1">
    <w:name w:val="Заголовок 1 Знак"/>
    <w:qFormat/>
    <w:rPr>
      <w:b/>
      <w:sz w:val="24"/>
    </w:rPr>
  </w:style>
  <w:style w:type="character" w:styleId="21" w:customStyle="1">
    <w:name w:val="Заголовок 2 Знак"/>
    <w:qFormat/>
    <w:rPr>
      <w:b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Style13">
    <w:name w:val="Посещённая гиперссылка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Arial" w:hAnsi="Arial" w:eastAsia="Arial Unicode MS" w:cs="Mangal"/>
      <w:sz w:val="28"/>
      <w:szCs w:val="28"/>
    </w:rPr>
  </w:style>
  <w:style w:type="paragraph" w:styleId="Style15">
    <w:name w:val="Body Text"/>
    <w:basedOn w:val="Normal"/>
    <w:pPr>
      <w:spacing w:before="0" w:after="120"/>
    </w:pPr>
    <w:rPr/>
  </w:style>
  <w:style w:type="paragraph" w:styleId="Style16">
    <w:name w:val="List"/>
    <w:basedOn w:val="Style15"/>
    <w:pPr/>
    <w:rPr>
      <w:rFonts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next w:val="Normal"/>
    <w:qFormat/>
    <w:pPr>
      <w:jc w:val="both"/>
    </w:pPr>
    <w:rPr>
      <w:rFonts w:eastAsia="Times New Roman"/>
      <w:b/>
      <w:szCs w:val="20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13" w:customStyle="1">
    <w:name w:val="Название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14" w:customStyle="1">
    <w:name w:val="Указатель1"/>
    <w:basedOn w:val="Normal"/>
    <w:qFormat/>
    <w:pPr>
      <w:suppressLineNumbers/>
    </w:pPr>
    <w:rPr>
      <w:rFonts w:cs="Mangal"/>
    </w:rPr>
  </w:style>
  <w:style w:type="paragraph" w:styleId="15" w:customStyle="1">
    <w:name w:val="Текст1"/>
    <w:basedOn w:val="Normal"/>
    <w:qFormat/>
    <w:pPr/>
    <w:rPr>
      <w:rFonts w:ascii="Courier New" w:hAnsi="Courier New" w:eastAsia="Times New Roman"/>
      <w:sz w:val="20"/>
      <w:szCs w:val="20"/>
    </w:rPr>
  </w:style>
  <w:style w:type="paragraph" w:styleId="211" w:customStyle="1">
    <w:name w:val="Основной текст 21"/>
    <w:basedOn w:val="Normal"/>
    <w:qFormat/>
    <w:pPr>
      <w:jc w:val="both"/>
    </w:pPr>
    <w:rPr>
      <w:rFonts w:eastAsia="Times New Roman"/>
      <w:sz w:val="22"/>
      <w:szCs w:val="20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19">
    <w:name w:val="Body Text Indent"/>
    <w:basedOn w:val="Normal"/>
    <w:pPr>
      <w:spacing w:before="0" w:after="120"/>
      <w:ind w:left="283" w:hanging="0"/>
    </w:pPr>
    <w:rPr/>
  </w:style>
  <w:style w:type="paragraph" w:styleId="Style20" w:customStyle="1">
    <w:name w:val="Форматированный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</w:pPr>
    <w:rPr>
      <w:rFonts w:ascii="Courier New" w:hAnsi="Courier New" w:eastAsia="Times New Roman"/>
      <w:sz w:val="20"/>
      <w:szCs w:val="20"/>
    </w:rPr>
  </w:style>
  <w:style w:type="paragraph" w:styleId="NormalWeb">
    <w:name w:val="Normal (Web)"/>
    <w:basedOn w:val="Normal"/>
    <w:qFormat/>
    <w:pPr>
      <w:spacing w:before="280" w:after="280"/>
    </w:pPr>
    <w:rPr>
      <w:rFonts w:eastAsia="Times New Roman"/>
    </w:rPr>
  </w:style>
  <w:style w:type="paragraph" w:styleId="Style21" w:customStyle="1">
    <w:name w:val="Содержимое таблицы"/>
    <w:basedOn w:val="Normal"/>
    <w:qFormat/>
    <w:pPr>
      <w:suppressLineNumbers/>
    </w:pPr>
    <w:rPr/>
  </w:style>
  <w:style w:type="paragraph" w:styleId="Style22" w:customStyle="1">
    <w:name w:val="Заголовок таблицы"/>
    <w:basedOn w:val="Style21"/>
    <w:qFormat/>
    <w:pPr>
      <w:jc w:val="center"/>
    </w:pPr>
    <w:rPr>
      <w:b/>
      <w:bCs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kern w:val="2"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 w:val="false"/>
      <w:pBdr>
        <w:top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 w:val="false"/>
      <w:pBdr>
        <w:bottom w:val="double" w:sz="2" w:space="0" w:color="000000"/>
      </w:pBdr>
      <w:bidi w:val="0"/>
      <w:spacing w:before="0" w:after="0"/>
      <w:jc w:val="center"/>
    </w:pPr>
    <w:rPr>
      <w:rFonts w:ascii="Arial" w:hAnsi="Arial" w:eastAsia="Arial" w:cs="Courier New"/>
      <w:vanish/>
      <w:color w:val="auto"/>
      <w:kern w:val="0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1" w:customStyle="1">
    <w:name w:val="WW8Num1"/>
    <w:qFormat/>
  </w:style>
  <w:style w:type="numbering" w:styleId="WW8Num2" w:customStyle="1">
    <w:name w:val="WW8Num2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Application>LibreOffice/6.4.2.2$Windows_X86_64 LibreOffice_project/4e471d8c02c9c90f512f7f9ead8875b57fcb1ec3</Application>
  <Pages>2</Pages>
  <Words>518</Words>
  <Characters>4402</Characters>
  <CharactersWithSpaces>4990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2018-08-30T12:01:00Z</dcterms:created>
  <dc:creator>1</dc:creator>
  <dc:description/>
  <dc:language>ru-RU</dc:language>
  <cp:lastModifiedBy/>
  <cp:lastPrinted>1995-11-21T17:41:00Z</cp:lastPrinted>
  <dcterms:modified xsi:type="dcterms:W3CDTF">2020-12-10T22:16:22Z</dcterms:modified>
  <cp:revision>40</cp:revision>
  <dc:subject/>
  <dc:title>Договор купли-продажи здания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