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rFonts w:ascii="Times New Roman" w:hAnsi="Times New Roman" w:eastAsia="Arial" w:cs="Courier New"/>
          <w:bCs/>
          <w:color w:val="auto"/>
          <w:kern w:val="0"/>
          <w:sz w:val="22"/>
          <w:szCs w:val="22"/>
          <w:lang w:val="ru-RU" w:eastAsia="zh-CN" w:bidi="hi-IN"/>
        </w:rPr>
      </w:pPr>
      <w:r>
        <w:rPr>
          <w:rFonts w:eastAsia="Arial" w:cs="Courier New"/>
          <w:b/>
          <w:bCs/>
          <w:color w:val="auto"/>
          <w:kern w:val="0"/>
          <w:sz w:val="22"/>
          <w:szCs w:val="22"/>
          <w:lang w:val="ru-RU" w:eastAsia="zh-CN" w:bidi="hi-IN"/>
        </w:rPr>
        <w:t>ДОГОВОР</w:t>
      </w:r>
    </w:p>
    <w:p>
      <w:pPr>
        <w:pStyle w:val="Normal"/>
        <w:jc w:val="center"/>
        <w:rPr>
          <w:rFonts w:ascii="Times New Roman" w:hAnsi="Times New Roman" w:eastAsia="Arial" w:cs="Courier New"/>
          <w:bCs/>
          <w:color w:val="auto"/>
          <w:kern w:val="0"/>
          <w:sz w:val="22"/>
          <w:szCs w:val="22"/>
          <w:lang w:val="ru-RU" w:eastAsia="zh-CN" w:bidi="hi-IN"/>
        </w:rPr>
      </w:pPr>
      <w:r>
        <w:rPr>
          <w:rFonts w:eastAsia="Arial" w:cs="Courier New"/>
          <w:b/>
          <w:bCs/>
          <w:color w:val="auto"/>
          <w:kern w:val="0"/>
          <w:sz w:val="22"/>
          <w:szCs w:val="22"/>
          <w:lang w:val="ru-RU" w:eastAsia="zh-CN" w:bidi="hi-IN"/>
        </w:rPr>
        <w:t xml:space="preserve">купли – продажи </w:t>
      </w:r>
    </w:p>
    <w:p>
      <w:pPr>
        <w:pStyle w:val="Normal"/>
        <w:jc w:val="center"/>
        <w:rPr>
          <w:rFonts w:ascii="Times New Roman" w:hAnsi="Times New Roman" w:eastAsia="Arial" w:cs="Courier New"/>
          <w:bCs/>
          <w:color w:val="auto"/>
          <w:kern w:val="0"/>
          <w:sz w:val="22"/>
          <w:szCs w:val="22"/>
          <w:lang w:val="ru-RU" w:eastAsia="zh-CN" w:bidi="hi-IN"/>
        </w:rPr>
      </w:pP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г. Москва                         </w:t>
        <w:tab/>
        <w:t xml:space="preserve">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 w:eastAsia="Arial" w:cs="Courier New"/>
          <w:bCs/>
          <w:color w:val="auto"/>
          <w:kern w:val="0"/>
          <w:sz w:val="22"/>
          <w:szCs w:val="22"/>
          <w:lang w:val="ru-RU" w:eastAsia="zh-CN" w:bidi="hi-IN"/>
        </w:rPr>
      </w:pP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</w:r>
    </w:p>
    <w:p>
      <w:pPr>
        <w:pStyle w:val="Normal"/>
        <w:jc w:val="both"/>
        <w:rPr>
          <w:rFonts w:ascii="Times New Roman" w:hAnsi="Times New Roman" w:eastAsia="Arial" w:cs="Courier New"/>
          <w:bCs/>
          <w:color w:val="auto"/>
          <w:kern w:val="0"/>
          <w:sz w:val="22"/>
          <w:szCs w:val="22"/>
          <w:lang w:val="ru-RU" w:eastAsia="zh-CN" w:bidi="hi-IN"/>
        </w:rPr>
      </w:pP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</w:r>
    </w:p>
    <w:p>
      <w:pPr>
        <w:pStyle w:val="Normal"/>
        <w:jc w:val="both"/>
        <w:rPr>
          <w:rFonts w:ascii="Times New Roman" w:hAnsi="Times New Roman" w:eastAsia="Arial" w:cs="Courier New"/>
          <w:bCs/>
          <w:color w:val="auto"/>
          <w:kern w:val="0"/>
          <w:sz w:val="22"/>
          <w:szCs w:val="22"/>
          <w:lang w:val="ru-RU" w:eastAsia="zh-CN" w:bidi="hi-IN"/>
        </w:rPr>
      </w:pP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Гражданин РФ,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Типцов Александр Сергеевич (09.07.1966г.р., место рожд: Московская обл., пос. Рем-завода Наро-Фоминского р-на, СНИЛС 063-417-468 57, ИНН 503012272618, адрес регистрации: г. Москва, г. Троицк п. Первомайское, пос. Птичное, ул. Центральная д. 44, кв. 1) ,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г. Москвы от 20.01.2020 г. по делу А40-307519/19  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с одной стороны и </w:t>
      </w:r>
    </w:p>
    <w:p>
      <w:pPr>
        <w:pStyle w:val="Normal"/>
        <w:jc w:val="both"/>
        <w:rPr>
          <w:rFonts w:ascii="Times New Roman" w:hAnsi="Times New Roman" w:eastAsia="Arial" w:cs="Courier New"/>
          <w:bCs/>
          <w:color w:val="auto"/>
          <w:kern w:val="0"/>
          <w:sz w:val="22"/>
          <w:szCs w:val="22"/>
          <w:lang w:val="ru-RU" w:eastAsia="zh-CN" w:bidi="hi-IN"/>
        </w:rPr>
      </w:pP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 w:eastAsia="Arial" w:cs="Courier New"/>
          <w:bCs/>
          <w:color w:val="auto"/>
          <w:kern w:val="0"/>
          <w:sz w:val="22"/>
          <w:szCs w:val="22"/>
          <w:lang w:val="ru-RU" w:eastAsia="zh-CN" w:bidi="hi-IN"/>
        </w:rPr>
      </w:pP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/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/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/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/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/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rFonts w:ascii="Times New Roman" w:hAnsi="Times New Roman" w:eastAsia="Arial" w:cs="Courier New"/>
                <w:b w:val="false"/>
                <w:b w:val="false"/>
                <w:bCs/>
                <w:i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b w:val="false"/>
                <w:bCs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zh-CN" w:bidi="hi-IN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 w:eastAsia="Arial" w:cs="Courier New"/>
                <w:b w:val="false"/>
                <w:b w:val="false"/>
                <w:bCs/>
                <w:i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b w:val="false"/>
                <w:bCs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zh-CN" w:bidi="hi-IN"/>
              </w:rPr>
              <w:t>Нежилое здание (гараж), площадью 29</w:t>
              <w:br/>
              <w:t>кв.м, по адресу: г. Москва, п.</w:t>
              <w:br/>
              <w:t>Первомайское, пос. Птичное, ул.</w:t>
              <w:br/>
              <w:t>Центральная, д.44, кадастровый номер</w:t>
              <w:br/>
              <w:t xml:space="preserve">77:21:0000000:3054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 w:eastAsia="Arial" w:cs="Courier New"/>
                <w:b w:val="false"/>
                <w:b w:val="false"/>
                <w:bCs/>
                <w:i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b w:val="false"/>
                <w:bCs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zh-CN" w:bidi="hi-IN"/>
              </w:rPr>
              <w:t xml:space="preserve">224 300,00  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/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 w:eastAsia="Arial" w:cs="Courier New"/>
                <w:b w:val="false"/>
                <w:b w:val="false"/>
                <w:bCs/>
                <w:i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b w:val="false"/>
                <w:bCs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zh-CN" w:bidi="hi-IN"/>
              </w:rPr>
              <w:t xml:space="preserve">224 300,00  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/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auto"/>
          <w:sz w:val="22"/>
          <w:szCs w:val="22"/>
        </w:rPr>
        <w:t>2.1. Общая стоимость имущества, указанного в п. 1.1. настоящего договора, состав</w:t>
      </w:r>
      <w:r>
        <w:rPr>
          <w:rFonts w:eastAsia="Times New Roman" w:cs="Courier New"/>
          <w:color w:val="auto"/>
          <w:kern w:val="0"/>
          <w:sz w:val="22"/>
          <w:szCs w:val="22"/>
          <w:lang w:val="ru-RU" w:eastAsia="zh-CN" w:bidi="hi-IN"/>
        </w:rPr>
        <w:t xml:space="preserve">ляет </w:t>
      </w:r>
      <w:r>
        <w:rPr>
          <w:rFonts w:eastAsia="Times New Roman" w:cs="Courier New"/>
          <w:b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224 300</w:t>
      </w:r>
      <w:r>
        <w:rPr>
          <w:b/>
          <w:bCs/>
          <w:color w:val="auto"/>
          <w:sz w:val="22"/>
          <w:szCs w:val="22"/>
        </w:rPr>
        <w:t xml:space="preserve">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eastAsia="Times New Roman" w:cs="Courier New"/>
          <w:b/>
          <w:bCs/>
          <w:color w:val="auto"/>
          <w:spacing w:val="5"/>
          <w:kern w:val="0"/>
          <w:sz w:val="22"/>
          <w:szCs w:val="22"/>
          <w:lang w:val="ru-RU" w:eastAsia="zh-CN" w:bidi="hi-IN"/>
        </w:rPr>
        <w:t>22 430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/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/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/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/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/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/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/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/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/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/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/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/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/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/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/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/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/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/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/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/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/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/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/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 w:eastAsia="Arial" w:cs="Courier New"/>
          <w:color w:val="auto"/>
          <w:kern w:val="0"/>
          <w:sz w:val="22"/>
          <w:szCs w:val="22"/>
          <w:lang w:val="ru-RU" w:eastAsia="zh-CN" w:bidi="hi-IN"/>
        </w:rPr>
      </w:pPr>
      <w:bookmarkStart w:id="0" w:name="__DdeLink__251_3931715634"/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Финансовый управляющий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Типцова Александра Сергеевича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 Шуховцев Данил Михайлович,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>действующий на основании решения Арбитражного суда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 г. Москвы от 20.01.2020 г. по делу А40-307519/19</w:t>
      </w:r>
    </w:p>
    <w:p>
      <w:pPr>
        <w:pStyle w:val="Normal"/>
        <w:shd w:val="clear" w:color="auto" w:fill="FFFFFF"/>
        <w:jc w:val="both"/>
        <w:rPr>
          <w:rFonts w:ascii="Times New Roman" w:hAnsi="Times New Roman" w:eastAsia="Arial" w:cs="Courier New"/>
          <w:color w:val="auto"/>
          <w:kern w:val="0"/>
          <w:sz w:val="22"/>
          <w:szCs w:val="22"/>
          <w:lang w:val="ru-RU" w:eastAsia="zh-CN" w:bidi="hi-IN"/>
        </w:rPr>
      </w:pP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/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bookmarkEnd w:id="0"/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Типцов Александр Сергеевич (ИНН 503012272618)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-2"/>
          <w:kern w:val="0"/>
          <w:sz w:val="22"/>
          <w:szCs w:val="22"/>
          <w:lang w:val="ru-RU" w:eastAsia="zh-CN" w:bidi="hi-IN"/>
        </w:rPr>
        <w:br/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р/с 40817810972007919832 в Челябинском Отделении № 8597 ПАО "СБЕРБАНК", ОГРН 1027700132195, ИНН 7707083893, БИК 047501602, К/С 30101810700000000602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/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/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/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Application>LibreOffice/6.4.4.2$Windows_X86_64 LibreOffice_project/3d775be2011f3886db32dfd395a6a6d1ca2630ff</Application>
  <Pages>2</Pages>
  <Words>540</Words>
  <Characters>4448</Characters>
  <CharactersWithSpaces>5068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2020-11-17T14:52:29Z</dcterms:modified>
  <cp:revision>42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