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000000"/>
          <w:spacing w:val="0"/>
          <w:sz w:val="22"/>
          <w:szCs w:val="22"/>
        </w:rPr>
        <w:t>г.Алапаевск</w:t>
      </w:r>
      <w:r>
        <w:rPr>
          <w:color w:val="000000"/>
          <w:spacing w:val="-4"/>
          <w:sz w:val="22"/>
          <w:szCs w:val="22"/>
        </w:rPr>
        <w:t xml:space="preserve"> </w:t>
        <w:tab/>
        <w:tab/>
        <w:t xml:space="preserve">                                                                                </w:t>
      </w:r>
      <w:r>
        <w:rPr>
          <w:color w:val="000000"/>
          <w:spacing w:val="13"/>
          <w:sz w:val="22"/>
          <w:szCs w:val="22"/>
        </w:rPr>
        <w:t xml:space="preserve">     </w:t>
        <w:tab/>
      </w:r>
      <w:r>
        <w:rPr>
          <w:color w:val="000000"/>
          <w:spacing w:val="-4"/>
          <w:sz w:val="22"/>
          <w:szCs w:val="22"/>
          <w:lang w:eastAsia="ru-RU"/>
        </w:rPr>
        <w:t>«</w:t>
      </w:r>
      <w:r>
        <w:rPr>
          <w:color w:val="000000"/>
          <w:spacing w:val="-4"/>
          <w:sz w:val="22"/>
          <w:szCs w:val="22"/>
        </w:rPr>
        <w:t>___</w:t>
      </w:r>
      <w:r>
        <w:rPr>
          <w:color w:val="000000"/>
          <w:spacing w:val="-4"/>
          <w:sz w:val="22"/>
          <w:szCs w:val="22"/>
          <w:lang w:eastAsia="ru-RU"/>
        </w:rPr>
        <w:t xml:space="preserve">» </w:t>
      </w:r>
      <w:r>
        <w:rPr>
          <w:color w:val="000000"/>
          <w:spacing w:val="-4"/>
          <w:sz w:val="22"/>
          <w:szCs w:val="22"/>
        </w:rPr>
        <w:t>________</w:t>
      </w:r>
      <w:r>
        <w:rPr>
          <w:color w:val="000000"/>
          <w:spacing w:val="-4"/>
          <w:sz w:val="22"/>
          <w:szCs w:val="22"/>
          <w:lang w:eastAsia="ru-RU"/>
        </w:rPr>
        <w:t xml:space="preserve"> 2020</w:t>
      </w:r>
      <w:r>
        <w:rPr>
          <w:color w:val="000000"/>
          <w:spacing w:val="-4"/>
          <w:sz w:val="22"/>
          <w:szCs w:val="22"/>
        </w:rPr>
        <w:t xml:space="preserve"> </w:t>
      </w:r>
      <w:r>
        <w:rPr>
          <w:color w:val="000000"/>
          <w:spacing w:val="-4"/>
          <w:sz w:val="22"/>
          <w:szCs w:val="22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color w:val="000000"/>
          <w:spacing w:val="-4"/>
          <w:sz w:val="22"/>
          <w:szCs w:val="22"/>
          <w:lang w:eastAsia="ru-RU"/>
        </w:rPr>
      </w:pPr>
      <w:r>
        <w:rPr>
          <w:color w:val="000000"/>
          <w:spacing w:val="-4"/>
          <w:sz w:val="22"/>
          <w:szCs w:val="22"/>
          <w:lang w:eastAsia="ru-RU"/>
        </w:rPr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pacing w:val="13"/>
          <w:sz w:val="22"/>
          <w:szCs w:val="22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Подковыркин Александр Геннадьевич (ИНН 660107217480, СНИЛС 113-138-952 29, 10.09.1983 г.р., место рождения - пос.Асбестовский гор.Алапаевска Свердловской обл., адрес регистрации: 624611, Свердловская обл., г.Алапаевск, пос.Асбестовский, ул.Гоголя, д.3-1)</w:t>
      </w:r>
      <w:r>
        <w:rPr>
          <w:color w:val="000000"/>
          <w:sz w:val="22"/>
          <w:szCs w:val="22"/>
        </w:rPr>
        <w:t xml:space="preserve">,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Свердловской области от 17.09.2019 г. по делу № А60-43685/2019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 xml:space="preserve">и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2"/>
          <w:szCs w:val="22"/>
        </w:rPr>
        <w:t xml:space="preserve"> именуемый далее "Претендент", </w:t>
      </w:r>
      <w:r>
        <w:rPr>
          <w:color w:val="000000"/>
          <w:sz w:val="22"/>
          <w:szCs w:val="22"/>
        </w:rPr>
        <w:t xml:space="preserve">с другой стороны, </w:t>
      </w:r>
      <w:r>
        <w:rPr>
          <w:color w:val="000000"/>
          <w:spacing w:val="-1"/>
          <w:sz w:val="22"/>
          <w:szCs w:val="22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2"/>
          <w:szCs w:val="22"/>
        </w:rPr>
      </w:pPr>
      <w:r>
        <w:rPr>
          <w:b/>
          <w:bCs/>
          <w:color w:val="000000"/>
          <w:spacing w:val="-2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2"/>
          <w:szCs w:val="22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1"/>
        <w:gridCol w:w="5428"/>
        <w:gridCol w:w="4"/>
        <w:gridCol w:w="2243"/>
      </w:tblGrid>
      <w:tr>
        <w:trPr>
          <w:trHeight w:val="704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№ </w:t>
            </w:r>
            <w:r>
              <w:rPr>
                <w:b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color w:val="000000"/>
                <w:sz w:val="22"/>
                <w:szCs w:val="22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2"/>
                <w:szCs w:val="22"/>
              </w:rPr>
              <w:t>Земельный участок, кн 66:33:0101012:2369, Категория земель - Земли населенных пунктов, разрешенное использование - Для индивидуальной жилой застройки, площадь 700 кв.м., адрес : Свердловская область</w:t>
              <w:br/>
              <w:t xml:space="preserve">Арамильский городской округ город Арамиль микрорайон Теплое поле, улица Самоцветная, 66  </w:t>
            </w:r>
          </w:p>
        </w:tc>
        <w:tc>
          <w:tcPr>
            <w:tcW w:w="22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611</w:t>
            </w:r>
            <w:r>
              <w:rPr>
                <w:color w:val="000000"/>
                <w:sz w:val="22"/>
                <w:szCs w:val="22"/>
              </w:rPr>
              <w:t xml:space="preserve"> 6</w:t>
            </w:r>
            <w:r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611</w:t>
            </w:r>
            <w:r>
              <w:rPr>
                <w:b/>
                <w:color w:val="000000"/>
                <w:sz w:val="22"/>
                <w:szCs w:val="22"/>
              </w:rPr>
              <w:t xml:space="preserve"> 6</w:t>
            </w:r>
            <w:r>
              <w:rPr>
                <w:b/>
                <w:color w:val="000000"/>
                <w:sz w:val="22"/>
                <w:szCs w:val="22"/>
              </w:rPr>
              <w:t>4</w:t>
            </w:r>
            <w:r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2"/>
          <w:szCs w:val="22"/>
        </w:rPr>
      </w:pPr>
      <w:r>
        <w:rPr>
          <w:color w:val="000000"/>
          <w:spacing w:val="3"/>
          <w:sz w:val="22"/>
          <w:szCs w:val="22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2"/>
          <w:szCs w:val="22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2"/>
          <w:szCs w:val="22"/>
        </w:rPr>
        <w:t xml:space="preserve">торгов задаток в размере 10%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6</w:t>
      </w:r>
      <w:r>
        <w:rPr>
          <w:b/>
          <w:bCs/>
          <w:color w:val="000000"/>
          <w:spacing w:val="5"/>
          <w:sz w:val="22"/>
          <w:szCs w:val="22"/>
        </w:rPr>
        <w:t>1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164</w:t>
      </w:r>
      <w:r>
        <w:rPr>
          <w:b/>
          <w:bCs/>
          <w:color w:val="000000"/>
          <w:spacing w:val="5"/>
          <w:sz w:val="22"/>
          <w:szCs w:val="22"/>
        </w:rPr>
        <w:t xml:space="preserve"> рублей 00 коп., </w:t>
      </w:r>
      <w:r>
        <w:rPr>
          <w:color w:val="000000"/>
          <w:spacing w:val="5"/>
          <w:sz w:val="22"/>
          <w:szCs w:val="22"/>
        </w:rPr>
        <w:t xml:space="preserve">а Организатор торгов обязуется принять </w:t>
      </w:r>
      <w:r>
        <w:rPr>
          <w:color w:val="000000"/>
          <w:spacing w:val="-2"/>
          <w:sz w:val="22"/>
          <w:szCs w:val="22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2"/>
          <w:szCs w:val="22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2"/>
          <w:szCs w:val="22"/>
          <w:lang w:eastAsia="ru-RU"/>
        </w:rPr>
        <w:t>1.2.</w:t>
        <w:tab/>
      </w:r>
      <w:r>
        <w:rPr>
          <w:color w:val="000000"/>
          <w:spacing w:val="1"/>
          <w:sz w:val="22"/>
          <w:szCs w:val="22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2"/>
          <w:szCs w:val="22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2"/>
          <w:szCs w:val="22"/>
        </w:rPr>
        <w:t xml:space="preserve">Претендента победителем торгов </w:t>
      </w:r>
      <w:r>
        <w:rPr>
          <w:color w:val="000000"/>
          <w:spacing w:val="8"/>
          <w:sz w:val="22"/>
          <w:szCs w:val="22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2"/>
          <w:szCs w:val="22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2"/>
          <w:szCs w:val="22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2"/>
          <w:szCs w:val="22"/>
        </w:rPr>
        <w:t xml:space="preserve">поступление </w:t>
      </w:r>
      <w:r>
        <w:rPr>
          <w:color w:val="000000"/>
          <w:spacing w:val="3"/>
          <w:sz w:val="22"/>
          <w:szCs w:val="22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2"/>
          <w:szCs w:val="22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2"/>
          <w:szCs w:val="22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2"/>
          <w:szCs w:val="22"/>
        </w:rPr>
        <w:t>3.1.</w:t>
      </w:r>
      <w:r>
        <w:rPr>
          <w:color w:val="000000"/>
          <w:sz w:val="22"/>
          <w:szCs w:val="22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2"/>
          <w:szCs w:val="22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2"/>
          <w:szCs w:val="22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2"/>
          <w:szCs w:val="22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2"/>
          <w:szCs w:val="22"/>
        </w:rPr>
        <w:t>3.2.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3"/>
          <w:sz w:val="22"/>
          <w:szCs w:val="22"/>
        </w:rPr>
        <w:t>Задаток возвращается</w:t>
      </w:r>
      <w:r>
        <w:rPr>
          <w:color w:val="000000"/>
          <w:spacing w:val="-1"/>
          <w:sz w:val="22"/>
          <w:szCs w:val="22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2"/>
          <w:szCs w:val="22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2"/>
          <w:szCs w:val="22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2"/>
          <w:szCs w:val="22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2"/>
          <w:szCs w:val="22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2"/>
          <w:szCs w:val="22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2"/>
          <w:szCs w:val="22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 xml:space="preserve">Неоплаты Победителем торгов имущества в установленный </w:t>
      </w:r>
      <w:r>
        <w:rPr>
          <w:color w:val="000000"/>
          <w:sz w:val="22"/>
          <w:szCs w:val="22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2"/>
          <w:szCs w:val="22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2"/>
          <w:szCs w:val="22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2"/>
          <w:szCs w:val="22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2"/>
          <w:szCs w:val="22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2"/>
          <w:szCs w:val="22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2"/>
          <w:szCs w:val="22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2"/>
          <w:szCs w:val="22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2"/>
          <w:szCs w:val="22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2"/>
          <w:szCs w:val="22"/>
        </w:rPr>
      </w:pPr>
      <w:r>
        <w:rPr>
          <w:b/>
          <w:bCs/>
          <w:color w:val="000000"/>
          <w:spacing w:val="-1"/>
          <w:sz w:val="22"/>
          <w:szCs w:val="22"/>
        </w:rPr>
      </w:r>
    </w:p>
    <w:p>
      <w:pPr>
        <w:pStyle w:val="Normal"/>
        <w:shd w:val="clear" w:color="auto" w:fill="FFFFFF"/>
        <w:jc w:val="center"/>
        <w:rPr/>
      </w:pPr>
      <w:r>
        <w:rPr>
          <w:b/>
          <w:bCs/>
          <w:color w:val="000000"/>
          <w:spacing w:val="-1"/>
          <w:sz w:val="22"/>
          <w:szCs w:val="22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2"/>
          <w:szCs w:val="22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управляющий 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Подковыркина Александра Геннадьевича </w:t>
      </w:r>
      <w:r>
        <w:rPr>
          <w:color w:val="000000"/>
          <w:sz w:val="22"/>
          <w:szCs w:val="22"/>
        </w:rPr>
        <w:t xml:space="preserve"> Шуховцев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Свердловской области от 17.09.2019 г. по делу № А60-43685/2019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Получатель: Подковыркин Александр Геннадьевич (ИНН 660107217480)</w:t>
        <w:br/>
        <w:t xml:space="preserve">р/с 40817810772007917500 Челябинское Отделение №8597 ПАО "СБЕРБАНК", ОГРН 1027700132195, ИНН 7707083893, БИК 047501602, К/С 30101810700000000602 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</w:t>
      </w:r>
      <w:r>
        <w:rPr>
          <w:b/>
          <w:color w:val="000000"/>
          <w:spacing w:val="-2"/>
          <w:sz w:val="22"/>
          <w:szCs w:val="22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</w:rPr>
      </w:pPr>
      <w:r>
        <w:rPr>
          <w:b/>
        </w:rPr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2"/>
          <w:szCs w:val="22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2"/>
          <w:szCs w:val="22"/>
        </w:rPr>
        <w:t>______________________________________</w:t>
      </w:r>
      <w:bookmarkEnd w:id="0"/>
      <w:r>
        <w:rPr>
          <w:b/>
          <w:color w:val="000000"/>
          <w:sz w:val="22"/>
          <w:szCs w:val="22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character" w:styleId="ListLabel155">
    <w:name w:val="ListLabel 155"/>
    <w:qFormat/>
    <w:rPr>
      <w:sz w:val="24"/>
      <w:szCs w:val="24"/>
    </w:rPr>
  </w:style>
  <w:style w:type="character" w:styleId="ListLabel156">
    <w:name w:val="ListLabel 156"/>
    <w:qFormat/>
    <w:rPr>
      <w:sz w:val="28"/>
      <w:szCs w:val="24"/>
    </w:rPr>
  </w:style>
  <w:style w:type="character" w:styleId="ListLabel157">
    <w:name w:val="ListLabel 157"/>
    <w:qFormat/>
    <w:rPr>
      <w:sz w:val="24"/>
      <w:szCs w:val="24"/>
    </w:rPr>
  </w:style>
  <w:style w:type="character" w:styleId="ListLabel158">
    <w:name w:val="ListLabel 158"/>
    <w:qFormat/>
    <w:rPr>
      <w:sz w:val="24"/>
      <w:szCs w:val="24"/>
    </w:rPr>
  </w:style>
  <w:style w:type="character" w:styleId="ListLabel159">
    <w:name w:val="ListLabel 159"/>
    <w:qFormat/>
    <w:rPr>
      <w:sz w:val="24"/>
      <w:szCs w:val="24"/>
    </w:rPr>
  </w:style>
  <w:style w:type="character" w:styleId="ListLabel160">
    <w:name w:val="ListLabel 160"/>
    <w:qFormat/>
    <w:rPr>
      <w:sz w:val="24"/>
      <w:szCs w:val="24"/>
    </w:rPr>
  </w:style>
  <w:style w:type="character" w:styleId="ListLabel161">
    <w:name w:val="ListLabel 161"/>
    <w:qFormat/>
    <w:rPr>
      <w:sz w:val="24"/>
      <w:szCs w:val="24"/>
    </w:rPr>
  </w:style>
  <w:style w:type="character" w:styleId="ListLabel162">
    <w:name w:val="ListLabel 162"/>
    <w:qFormat/>
    <w:rPr>
      <w:sz w:val="24"/>
      <w:szCs w:val="24"/>
    </w:rPr>
  </w:style>
  <w:style w:type="character" w:styleId="ListLabel163">
    <w:name w:val="ListLabel 163"/>
    <w:qFormat/>
    <w:rPr>
      <w:sz w:val="24"/>
      <w:szCs w:val="24"/>
    </w:rPr>
  </w:style>
  <w:style w:type="character" w:styleId="ListLabel164">
    <w:name w:val="ListLabel 164"/>
    <w:qFormat/>
    <w:rPr>
      <w:spacing w:val="-2"/>
      <w:sz w:val="24"/>
      <w:szCs w:val="24"/>
    </w:rPr>
  </w:style>
  <w:style w:type="character" w:styleId="ListLabel165">
    <w:name w:val="ListLabel 165"/>
    <w:qFormat/>
    <w:rPr>
      <w:spacing w:val="-2"/>
      <w:sz w:val="28"/>
      <w:szCs w:val="24"/>
    </w:rPr>
  </w:style>
  <w:style w:type="character" w:styleId="ListLabel166">
    <w:name w:val="ListLabel 166"/>
    <w:qFormat/>
    <w:rPr>
      <w:spacing w:val="-2"/>
      <w:sz w:val="24"/>
      <w:szCs w:val="24"/>
    </w:rPr>
  </w:style>
  <w:style w:type="character" w:styleId="ListLabel167">
    <w:name w:val="ListLabel 167"/>
    <w:qFormat/>
    <w:rPr>
      <w:spacing w:val="-2"/>
      <w:sz w:val="24"/>
      <w:szCs w:val="24"/>
    </w:rPr>
  </w:style>
  <w:style w:type="character" w:styleId="ListLabel168">
    <w:name w:val="ListLabel 168"/>
    <w:qFormat/>
    <w:rPr>
      <w:spacing w:val="-2"/>
      <w:sz w:val="24"/>
      <w:szCs w:val="24"/>
    </w:rPr>
  </w:style>
  <w:style w:type="character" w:styleId="ListLabel169">
    <w:name w:val="ListLabel 169"/>
    <w:qFormat/>
    <w:rPr>
      <w:spacing w:val="-2"/>
      <w:sz w:val="24"/>
      <w:szCs w:val="24"/>
    </w:rPr>
  </w:style>
  <w:style w:type="character" w:styleId="ListLabel170">
    <w:name w:val="ListLabel 170"/>
    <w:qFormat/>
    <w:rPr>
      <w:spacing w:val="-2"/>
      <w:sz w:val="24"/>
      <w:szCs w:val="24"/>
    </w:rPr>
  </w:style>
  <w:style w:type="character" w:styleId="ListLabel171">
    <w:name w:val="ListLabel 171"/>
    <w:qFormat/>
    <w:rPr>
      <w:spacing w:val="-2"/>
      <w:sz w:val="24"/>
      <w:szCs w:val="24"/>
    </w:rPr>
  </w:style>
  <w:style w:type="character" w:styleId="ListLabel172">
    <w:name w:val="ListLabel 172"/>
    <w:qFormat/>
    <w:rPr>
      <w:spacing w:val="-2"/>
      <w:sz w:val="24"/>
      <w:szCs w:val="24"/>
    </w:rPr>
  </w:style>
  <w:style w:type="character" w:styleId="ListLabel173">
    <w:name w:val="ListLabel 173"/>
    <w:qFormat/>
    <w:rPr>
      <w:rFonts w:cs="Times New Roman"/>
      <w:spacing w:val="-1"/>
      <w:sz w:val="28"/>
      <w:szCs w:val="24"/>
    </w:rPr>
  </w:style>
  <w:style w:type="character" w:styleId="ListLabel174">
    <w:name w:val="ListLabel 174"/>
    <w:qFormat/>
    <w:rPr>
      <w:rFonts w:cs="Times New Roman"/>
      <w:spacing w:val="-1"/>
      <w:sz w:val="28"/>
      <w:szCs w:val="24"/>
    </w:rPr>
  </w:style>
  <w:style w:type="character" w:styleId="ListLabel175">
    <w:name w:val="ListLabel 175"/>
    <w:qFormat/>
    <w:rPr>
      <w:rFonts w:cs="Times New Roman"/>
      <w:sz w:val="28"/>
      <w:szCs w:val="24"/>
    </w:rPr>
  </w:style>
  <w:style w:type="character" w:styleId="ListLabel176">
    <w:name w:val="ListLabel 176"/>
    <w:qFormat/>
    <w:rPr>
      <w:rFonts w:cs="Times New Roman"/>
      <w:spacing w:val="-1"/>
      <w:sz w:val="28"/>
      <w:szCs w:val="24"/>
    </w:rPr>
  </w:style>
  <w:style w:type="character" w:styleId="ListLabel177">
    <w:name w:val="ListLabel 177"/>
    <w:qFormat/>
    <w:rPr>
      <w:sz w:val="24"/>
      <w:szCs w:val="24"/>
    </w:rPr>
  </w:style>
  <w:style w:type="character" w:styleId="ListLabel178">
    <w:name w:val="ListLabel 178"/>
    <w:qFormat/>
    <w:rPr>
      <w:sz w:val="28"/>
      <w:szCs w:val="24"/>
    </w:rPr>
  </w:style>
  <w:style w:type="character" w:styleId="ListLabel179">
    <w:name w:val="ListLabel 179"/>
    <w:qFormat/>
    <w:rPr>
      <w:sz w:val="24"/>
      <w:szCs w:val="24"/>
    </w:rPr>
  </w:style>
  <w:style w:type="character" w:styleId="ListLabel180">
    <w:name w:val="ListLabel 180"/>
    <w:qFormat/>
    <w:rPr>
      <w:sz w:val="24"/>
      <w:szCs w:val="24"/>
    </w:rPr>
  </w:style>
  <w:style w:type="character" w:styleId="ListLabel181">
    <w:name w:val="ListLabel 181"/>
    <w:qFormat/>
    <w:rPr>
      <w:sz w:val="24"/>
      <w:szCs w:val="24"/>
    </w:rPr>
  </w:style>
  <w:style w:type="character" w:styleId="ListLabel182">
    <w:name w:val="ListLabel 182"/>
    <w:qFormat/>
    <w:rPr>
      <w:sz w:val="24"/>
      <w:szCs w:val="24"/>
    </w:rPr>
  </w:style>
  <w:style w:type="character" w:styleId="ListLabel183">
    <w:name w:val="ListLabel 183"/>
    <w:qFormat/>
    <w:rPr>
      <w:sz w:val="24"/>
      <w:szCs w:val="24"/>
    </w:rPr>
  </w:style>
  <w:style w:type="character" w:styleId="ListLabel184">
    <w:name w:val="ListLabel 184"/>
    <w:qFormat/>
    <w:rPr>
      <w:sz w:val="24"/>
      <w:szCs w:val="24"/>
    </w:rPr>
  </w:style>
  <w:style w:type="character" w:styleId="ListLabel185">
    <w:name w:val="ListLabel 185"/>
    <w:qFormat/>
    <w:rPr>
      <w:sz w:val="24"/>
      <w:szCs w:val="24"/>
    </w:rPr>
  </w:style>
  <w:style w:type="character" w:styleId="ListLabel186">
    <w:name w:val="ListLabel 186"/>
    <w:qFormat/>
    <w:rPr>
      <w:spacing w:val="-2"/>
      <w:sz w:val="24"/>
      <w:szCs w:val="24"/>
    </w:rPr>
  </w:style>
  <w:style w:type="character" w:styleId="ListLabel187">
    <w:name w:val="ListLabel 187"/>
    <w:qFormat/>
    <w:rPr>
      <w:spacing w:val="-2"/>
      <w:sz w:val="28"/>
      <w:szCs w:val="24"/>
    </w:rPr>
  </w:style>
  <w:style w:type="character" w:styleId="ListLabel188">
    <w:name w:val="ListLabel 188"/>
    <w:qFormat/>
    <w:rPr>
      <w:spacing w:val="-2"/>
      <w:sz w:val="24"/>
      <w:szCs w:val="24"/>
    </w:rPr>
  </w:style>
  <w:style w:type="character" w:styleId="ListLabel189">
    <w:name w:val="ListLabel 189"/>
    <w:qFormat/>
    <w:rPr>
      <w:spacing w:val="-2"/>
      <w:sz w:val="24"/>
      <w:szCs w:val="24"/>
    </w:rPr>
  </w:style>
  <w:style w:type="character" w:styleId="ListLabel190">
    <w:name w:val="ListLabel 190"/>
    <w:qFormat/>
    <w:rPr>
      <w:spacing w:val="-2"/>
      <w:sz w:val="24"/>
      <w:szCs w:val="24"/>
    </w:rPr>
  </w:style>
  <w:style w:type="character" w:styleId="ListLabel191">
    <w:name w:val="ListLabel 191"/>
    <w:qFormat/>
    <w:rPr>
      <w:spacing w:val="-2"/>
      <w:sz w:val="24"/>
      <w:szCs w:val="24"/>
    </w:rPr>
  </w:style>
  <w:style w:type="character" w:styleId="ListLabel192">
    <w:name w:val="ListLabel 192"/>
    <w:qFormat/>
    <w:rPr>
      <w:spacing w:val="-2"/>
      <w:sz w:val="24"/>
      <w:szCs w:val="24"/>
    </w:rPr>
  </w:style>
  <w:style w:type="character" w:styleId="ListLabel193">
    <w:name w:val="ListLabel 193"/>
    <w:qFormat/>
    <w:rPr>
      <w:spacing w:val="-2"/>
      <w:sz w:val="24"/>
      <w:szCs w:val="24"/>
    </w:rPr>
  </w:style>
  <w:style w:type="character" w:styleId="ListLabel194">
    <w:name w:val="ListLabel 194"/>
    <w:qFormat/>
    <w:rPr>
      <w:spacing w:val="-2"/>
      <w:sz w:val="24"/>
      <w:szCs w:val="24"/>
    </w:rPr>
  </w:style>
  <w:style w:type="character" w:styleId="ListLabel195">
    <w:name w:val="ListLabel 195"/>
    <w:qFormat/>
    <w:rPr>
      <w:rFonts w:cs="Times New Roman"/>
      <w:spacing w:val="-1"/>
      <w:sz w:val="28"/>
      <w:szCs w:val="24"/>
    </w:rPr>
  </w:style>
  <w:style w:type="character" w:styleId="ListLabel196">
    <w:name w:val="ListLabel 196"/>
    <w:qFormat/>
    <w:rPr>
      <w:rFonts w:cs="Times New Roman"/>
      <w:spacing w:val="-1"/>
      <w:sz w:val="28"/>
      <w:szCs w:val="24"/>
    </w:rPr>
  </w:style>
  <w:style w:type="character" w:styleId="ListLabel197">
    <w:name w:val="ListLabel 197"/>
    <w:qFormat/>
    <w:rPr>
      <w:rFonts w:cs="Times New Roman"/>
      <w:sz w:val="28"/>
      <w:szCs w:val="24"/>
    </w:rPr>
  </w:style>
  <w:style w:type="character" w:styleId="ListLabel198">
    <w:name w:val="ListLabel 198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LibreOffice/6.2.2.2$Windows_X86_64 LibreOffice_project/2b840030fec2aae0fd2658d8d4f9548af4e3518d</Application>
  <Pages>3</Pages>
  <Words>516</Words>
  <Characters>4227</Characters>
  <CharactersWithSpaces>4842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2020-09-09T10:24:16Z</dcterms:modified>
  <cp:revision>17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